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36" w:rsidRDefault="00476636">
      <w:pPr>
        <w:pStyle w:val="Corpsdetexte"/>
        <w:spacing w:before="8"/>
        <w:rPr>
          <w:rFonts w:ascii="Times New Roman"/>
          <w:sz w:val="2"/>
        </w:rPr>
      </w:pPr>
    </w:p>
    <w:p w:rsidR="00476636" w:rsidRDefault="00C7078A">
      <w:pPr>
        <w:pStyle w:val="Titre"/>
        <w:spacing w:before="40" w:line="276" w:lineRule="auto"/>
        <w:ind w:firstLine="4"/>
      </w:pPr>
      <w:proofErr w:type="spellStart"/>
      <w:r>
        <w:t>Arkéa</w:t>
      </w:r>
      <w:proofErr w:type="spellEnd"/>
      <w:r>
        <w:t xml:space="preserve"> 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Entreprises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Institutionnels</w:t>
      </w:r>
      <w:proofErr w:type="spellEnd"/>
      <w:r>
        <w:t xml:space="preserve"> structure un </w:t>
      </w:r>
      <w:proofErr w:type="spellStart"/>
      <w:r>
        <w:t>financement</w:t>
      </w:r>
      <w:proofErr w:type="spellEnd"/>
      <w:r>
        <w:rPr>
          <w:spacing w:val="1"/>
        </w:rPr>
        <w:t xml:space="preserve"> </w:t>
      </w:r>
      <w:r>
        <w:t xml:space="preserve">de 60M€ au profit de </w:t>
      </w:r>
      <w:proofErr w:type="spellStart"/>
      <w:r>
        <w:t>DeA</w:t>
      </w:r>
      <w:proofErr w:type="spellEnd"/>
      <w:r>
        <w:t xml:space="preserve"> Capital, Invesco et la </w:t>
      </w:r>
      <w:proofErr w:type="spellStart"/>
      <w:r>
        <w:t>Banque</w:t>
      </w:r>
      <w:proofErr w:type="spellEnd"/>
      <w:r>
        <w:t xml:space="preserve"> des </w:t>
      </w:r>
      <w:proofErr w:type="spellStart"/>
      <w:r>
        <w:t>Territoires</w:t>
      </w:r>
      <w:proofErr w:type="spellEnd"/>
      <w:r>
        <w:rPr>
          <w:spacing w:val="-66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la construction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résidences</w:t>
      </w:r>
      <w:proofErr w:type="spellEnd"/>
      <w:r>
        <w:rPr>
          <w:spacing w:val="-1"/>
        </w:rPr>
        <w:t xml:space="preserve"> </w:t>
      </w:r>
      <w:proofErr w:type="spellStart"/>
      <w:r>
        <w:t>étudiantes</w:t>
      </w:r>
      <w:proofErr w:type="spellEnd"/>
    </w:p>
    <w:p w:rsidR="00476636" w:rsidRDefault="00C7078A">
      <w:pPr>
        <w:pStyle w:val="Titre"/>
        <w:spacing w:line="365" w:lineRule="exact"/>
        <w:ind w:left="3822" w:right="4140"/>
      </w:pPr>
      <w:proofErr w:type="gramStart"/>
      <w:r>
        <w:t>à</w:t>
      </w:r>
      <w:proofErr w:type="gramEnd"/>
      <w:r>
        <w:rPr>
          <w:spacing w:val="-2"/>
        </w:rPr>
        <w:t xml:space="preserve"> </w:t>
      </w:r>
      <w:r>
        <w:t>Rennes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Bordeaux</w:t>
      </w:r>
    </w:p>
    <w:p w:rsidR="00476636" w:rsidRDefault="00476636">
      <w:pPr>
        <w:pStyle w:val="Corpsdetexte"/>
        <w:spacing w:before="1"/>
        <w:rPr>
          <w:b/>
          <w:sz w:val="39"/>
        </w:rPr>
      </w:pPr>
    </w:p>
    <w:p w:rsidR="00476636" w:rsidRDefault="00C7078A">
      <w:pPr>
        <w:pStyle w:val="Titre1"/>
        <w:ind w:firstLine="7264"/>
        <w:jc w:val="left"/>
      </w:pPr>
      <w:r>
        <w:t>Le</w:t>
      </w:r>
      <w:r>
        <w:rPr>
          <w:spacing w:val="-1"/>
        </w:rPr>
        <w:t xml:space="preserve"> </w:t>
      </w:r>
      <w:r>
        <w:t>17</w:t>
      </w:r>
      <w:r>
        <w:rPr>
          <w:spacing w:val="-2"/>
        </w:rPr>
        <w:t xml:space="preserve"> </w:t>
      </w:r>
      <w:proofErr w:type="spellStart"/>
      <w:r>
        <w:t>décembre</w:t>
      </w:r>
      <w:proofErr w:type="spellEnd"/>
      <w:r>
        <w:rPr>
          <w:spacing w:val="-2"/>
        </w:rPr>
        <w:t xml:space="preserve"> </w:t>
      </w:r>
      <w:r>
        <w:t>2025</w:t>
      </w:r>
    </w:p>
    <w:p w:rsidR="00476636" w:rsidRDefault="00476636">
      <w:pPr>
        <w:pStyle w:val="Corpsdetexte"/>
        <w:spacing w:before="8"/>
        <w:rPr>
          <w:b/>
          <w:sz w:val="22"/>
        </w:rPr>
      </w:pPr>
    </w:p>
    <w:p w:rsidR="00476636" w:rsidRDefault="00C7078A">
      <w:pPr>
        <w:spacing w:line="276" w:lineRule="auto"/>
        <w:ind w:left="680" w:right="994"/>
        <w:jc w:val="both"/>
        <w:rPr>
          <w:b/>
          <w:sz w:val="20"/>
        </w:rPr>
      </w:pPr>
      <w:proofErr w:type="spellStart"/>
      <w:r>
        <w:rPr>
          <w:b/>
          <w:sz w:val="20"/>
        </w:rPr>
        <w:t>Arkéa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Banque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Entreprises</w:t>
      </w:r>
      <w:proofErr w:type="spellEnd"/>
      <w:r>
        <w:rPr>
          <w:b/>
          <w:sz w:val="20"/>
        </w:rPr>
        <w:t xml:space="preserve"> et </w:t>
      </w:r>
      <w:proofErr w:type="spellStart"/>
      <w:r>
        <w:rPr>
          <w:b/>
          <w:sz w:val="20"/>
        </w:rPr>
        <w:t>Institutionnels</w:t>
      </w:r>
      <w:proofErr w:type="spellEnd"/>
      <w:r>
        <w:rPr>
          <w:b/>
          <w:sz w:val="20"/>
        </w:rPr>
        <w:t xml:space="preserve">, la </w:t>
      </w:r>
      <w:proofErr w:type="spellStart"/>
      <w:r>
        <w:rPr>
          <w:b/>
          <w:sz w:val="20"/>
        </w:rPr>
        <w:t>filiale</w:t>
      </w:r>
      <w:proofErr w:type="spellEnd"/>
      <w:r>
        <w:rPr>
          <w:b/>
          <w:sz w:val="20"/>
        </w:rPr>
        <w:t xml:space="preserve"> du </w:t>
      </w:r>
      <w:proofErr w:type="spellStart"/>
      <w:r>
        <w:rPr>
          <w:b/>
          <w:sz w:val="20"/>
        </w:rPr>
        <w:t>groupe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Crédit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Mutuel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Arkéa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dédiée</w:t>
      </w:r>
      <w:proofErr w:type="spellEnd"/>
      <w:r>
        <w:rPr>
          <w:b/>
          <w:sz w:val="20"/>
        </w:rPr>
        <w:t xml:space="preserve"> au </w:t>
      </w:r>
      <w:proofErr w:type="spellStart"/>
      <w:r>
        <w:rPr>
          <w:b/>
          <w:sz w:val="20"/>
        </w:rPr>
        <w:t>financement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des </w:t>
      </w:r>
      <w:proofErr w:type="spellStart"/>
      <w:r>
        <w:rPr>
          <w:b/>
          <w:sz w:val="20"/>
        </w:rPr>
        <w:t>entreprises</w:t>
      </w:r>
      <w:proofErr w:type="spellEnd"/>
      <w:r>
        <w:rPr>
          <w:b/>
          <w:sz w:val="20"/>
        </w:rPr>
        <w:t xml:space="preserve">, des </w:t>
      </w:r>
      <w:proofErr w:type="spellStart"/>
      <w:r>
        <w:rPr>
          <w:b/>
          <w:sz w:val="20"/>
        </w:rPr>
        <w:t>acteurs</w:t>
      </w:r>
      <w:proofErr w:type="spellEnd"/>
      <w:r>
        <w:rPr>
          <w:b/>
          <w:sz w:val="20"/>
        </w:rPr>
        <w:t xml:space="preserve"> publics </w:t>
      </w:r>
      <w:proofErr w:type="spellStart"/>
      <w:r>
        <w:rPr>
          <w:b/>
          <w:sz w:val="20"/>
        </w:rPr>
        <w:t>locaux</w:t>
      </w:r>
      <w:proofErr w:type="spellEnd"/>
      <w:r>
        <w:rPr>
          <w:b/>
          <w:sz w:val="20"/>
        </w:rPr>
        <w:t xml:space="preserve"> et des </w:t>
      </w:r>
      <w:proofErr w:type="spellStart"/>
      <w:r>
        <w:rPr>
          <w:b/>
          <w:sz w:val="20"/>
        </w:rPr>
        <w:t>professionnels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l’immobilier</w:t>
      </w:r>
      <w:proofErr w:type="spellEnd"/>
      <w:r>
        <w:rPr>
          <w:b/>
          <w:sz w:val="20"/>
        </w:rPr>
        <w:t xml:space="preserve">, arrange, </w:t>
      </w:r>
      <w:proofErr w:type="spellStart"/>
      <w:r>
        <w:rPr>
          <w:b/>
          <w:sz w:val="20"/>
        </w:rPr>
        <w:t>coordonne</w:t>
      </w:r>
      <w:proofErr w:type="spellEnd"/>
      <w:r>
        <w:rPr>
          <w:b/>
          <w:sz w:val="20"/>
        </w:rPr>
        <w:t xml:space="preserve"> et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cofinance</w:t>
      </w:r>
      <w:proofErr w:type="spellEnd"/>
      <w:r>
        <w:rPr>
          <w:b/>
          <w:sz w:val="20"/>
        </w:rPr>
        <w:t>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aux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côtés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SOCFIM,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financem</w:t>
      </w:r>
      <w:r>
        <w:rPr>
          <w:b/>
          <w:sz w:val="20"/>
        </w:rPr>
        <w:t>ent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M€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destiné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l’acquisition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VEFA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deux</w:t>
      </w:r>
      <w:proofErr w:type="spellEnd"/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résidences</w:t>
      </w:r>
      <w:proofErr w:type="spellEnd"/>
      <w:r>
        <w:rPr>
          <w:b/>
          <w:spacing w:val="-43"/>
          <w:sz w:val="20"/>
        </w:rPr>
        <w:t xml:space="preserve"> </w:t>
      </w:r>
      <w:proofErr w:type="spellStart"/>
      <w:r>
        <w:rPr>
          <w:b/>
          <w:sz w:val="20"/>
        </w:rPr>
        <w:t>étudiantes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situées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Rennes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Bordeaux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par </w:t>
      </w:r>
      <w:proofErr w:type="spellStart"/>
      <w:r>
        <w:rPr>
          <w:b/>
          <w:sz w:val="20"/>
        </w:rPr>
        <w:t>DeA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Capital, Invesco 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la </w:t>
      </w:r>
      <w:proofErr w:type="spellStart"/>
      <w:r>
        <w:rPr>
          <w:b/>
          <w:sz w:val="20"/>
        </w:rPr>
        <w:t>Banque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Territoires</w:t>
      </w:r>
      <w:proofErr w:type="spellEnd"/>
      <w:r>
        <w:rPr>
          <w:b/>
          <w:sz w:val="20"/>
        </w:rPr>
        <w:t>.</w:t>
      </w:r>
    </w:p>
    <w:p w:rsidR="00476636" w:rsidRDefault="00476636">
      <w:pPr>
        <w:pStyle w:val="Corpsdetexte"/>
        <w:spacing w:before="9"/>
        <w:rPr>
          <w:b/>
          <w:sz w:val="19"/>
        </w:rPr>
      </w:pPr>
    </w:p>
    <w:p w:rsidR="00476636" w:rsidRDefault="00C7078A">
      <w:pPr>
        <w:pStyle w:val="Corpsdetexte"/>
        <w:spacing w:line="276" w:lineRule="auto"/>
        <w:ind w:left="680" w:right="994"/>
        <w:jc w:val="both"/>
      </w:pPr>
      <w:proofErr w:type="spellStart"/>
      <w:r>
        <w:t>DeA</w:t>
      </w:r>
      <w:proofErr w:type="spellEnd"/>
      <w:r>
        <w:t xml:space="preserve"> Capital </w:t>
      </w:r>
      <w:proofErr w:type="gramStart"/>
      <w:r>
        <w:t>et</w:t>
      </w:r>
      <w:proofErr w:type="gramEnd"/>
      <w:r>
        <w:t xml:space="preserve"> Invesco, </w:t>
      </w:r>
      <w:proofErr w:type="spellStart"/>
      <w:r>
        <w:t>investisseurs</w:t>
      </w:r>
      <w:proofErr w:type="spellEnd"/>
      <w:r>
        <w:t xml:space="preserve"> </w:t>
      </w:r>
      <w:proofErr w:type="spellStart"/>
      <w:r>
        <w:t>institutionnels</w:t>
      </w:r>
      <w:proofErr w:type="spellEnd"/>
      <w:r>
        <w:t xml:space="preserve"> </w:t>
      </w:r>
      <w:proofErr w:type="spellStart"/>
      <w:r>
        <w:t>actifs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l’immobilier</w:t>
      </w:r>
      <w:proofErr w:type="spellEnd"/>
      <w:r>
        <w:t xml:space="preserve"> </w:t>
      </w:r>
      <w:proofErr w:type="spellStart"/>
      <w:r>
        <w:t>résidentiel</w:t>
      </w:r>
      <w:proofErr w:type="spellEnd"/>
      <w:r>
        <w:t xml:space="preserve"> </w:t>
      </w:r>
      <w:proofErr w:type="spellStart"/>
      <w:r>
        <w:t>géré</w:t>
      </w:r>
      <w:proofErr w:type="spellEnd"/>
      <w:r>
        <w:t xml:space="preserve"> </w:t>
      </w:r>
      <w:r>
        <w:t xml:space="preserve">et la </w:t>
      </w:r>
      <w:proofErr w:type="spellStart"/>
      <w:r>
        <w:t>Banque</w:t>
      </w:r>
      <w:proofErr w:type="spellEnd"/>
      <w:r>
        <w:t xml:space="preserve"> des</w:t>
      </w:r>
      <w:r>
        <w:rPr>
          <w:spacing w:val="1"/>
        </w:rPr>
        <w:t xml:space="preserve"> </w:t>
      </w:r>
      <w:proofErr w:type="spellStart"/>
      <w:r>
        <w:t>Territoires</w:t>
      </w:r>
      <w:proofErr w:type="spellEnd"/>
      <w:r>
        <w:t xml:space="preserve"> </w:t>
      </w:r>
      <w:proofErr w:type="spellStart"/>
      <w:r>
        <w:t>s’associent</w:t>
      </w:r>
      <w:proofErr w:type="spellEnd"/>
      <w:r>
        <w:t xml:space="preserve"> et </w:t>
      </w:r>
      <w:proofErr w:type="spellStart"/>
      <w:r>
        <w:t>souscrivent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</w:t>
      </w:r>
      <w:proofErr w:type="spellStart"/>
      <w:r>
        <w:t>d’Arkéa</w:t>
      </w:r>
      <w:proofErr w:type="spellEnd"/>
      <w:r>
        <w:t xml:space="preserve"> 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Entreprises</w:t>
      </w:r>
      <w:proofErr w:type="spellEnd"/>
      <w:r>
        <w:t xml:space="preserve"> &amp; </w:t>
      </w:r>
      <w:proofErr w:type="spellStart"/>
      <w:r>
        <w:t>Institutionnels</w:t>
      </w:r>
      <w:proofErr w:type="spellEnd"/>
      <w:r>
        <w:t xml:space="preserve"> et de SOCFIM un</w:t>
      </w:r>
      <w:r>
        <w:rPr>
          <w:spacing w:val="1"/>
        </w:rPr>
        <w:t xml:space="preserve"> </w:t>
      </w:r>
      <w:proofErr w:type="spellStart"/>
      <w:r>
        <w:t>financement</w:t>
      </w:r>
      <w:proofErr w:type="spellEnd"/>
      <w:r>
        <w:t xml:space="preserve"> de 60 M€ pour </w:t>
      </w:r>
      <w:proofErr w:type="spellStart"/>
      <w:r>
        <w:t>l’acquisition</w:t>
      </w:r>
      <w:proofErr w:type="spellEnd"/>
      <w:r>
        <w:t xml:space="preserve"> en VEFA de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résidences</w:t>
      </w:r>
      <w:proofErr w:type="spellEnd"/>
      <w:r>
        <w:t xml:space="preserve"> </w:t>
      </w:r>
      <w:proofErr w:type="spellStart"/>
      <w:r>
        <w:t>étudiantes</w:t>
      </w:r>
      <w:proofErr w:type="spellEnd"/>
      <w:r>
        <w:t xml:space="preserve">. Les </w:t>
      </w:r>
      <w:proofErr w:type="spellStart"/>
      <w:r>
        <w:t>projets</w:t>
      </w:r>
      <w:proofErr w:type="spellEnd"/>
      <w:r>
        <w:t xml:space="preserve">, </w:t>
      </w:r>
      <w:proofErr w:type="spellStart"/>
      <w:r>
        <w:t>dont</w:t>
      </w:r>
      <w:proofErr w:type="spellEnd"/>
      <w:r>
        <w:t xml:space="preserve"> la </w:t>
      </w:r>
      <w:proofErr w:type="spellStart"/>
      <w:r>
        <w:t>livraison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prévue</w:t>
      </w:r>
      <w:proofErr w:type="spellEnd"/>
      <w:r>
        <w:t xml:space="preserve"> à </w:t>
      </w:r>
      <w:proofErr w:type="spellStart"/>
      <w:r>
        <w:t>l’horizon</w:t>
      </w:r>
      <w:proofErr w:type="spellEnd"/>
      <w:r>
        <w:t xml:space="preserve"> 2027, </w:t>
      </w:r>
      <w:proofErr w:type="spellStart"/>
      <w:r>
        <w:t>proposeront</w:t>
      </w:r>
      <w:proofErr w:type="spellEnd"/>
      <w:r>
        <w:t xml:space="preserve"> des </w:t>
      </w:r>
      <w:proofErr w:type="spellStart"/>
      <w:r>
        <w:t>logements</w:t>
      </w:r>
      <w:proofErr w:type="spellEnd"/>
      <w:r>
        <w:t xml:space="preserve"> </w:t>
      </w:r>
      <w:proofErr w:type="spellStart"/>
      <w:r>
        <w:t>modernes</w:t>
      </w:r>
      <w:proofErr w:type="spellEnd"/>
      <w:r>
        <w:t xml:space="preserve"> et des </w:t>
      </w:r>
      <w:proofErr w:type="spellStart"/>
      <w:r>
        <w:t>espaces</w:t>
      </w:r>
      <w:proofErr w:type="spellEnd"/>
      <w:r>
        <w:t xml:space="preserve"> de vie </w:t>
      </w:r>
      <w:proofErr w:type="spellStart"/>
      <w:r>
        <w:t>adaptés</w:t>
      </w:r>
      <w:proofErr w:type="spellEnd"/>
      <w:r>
        <w:t xml:space="preserve"> aux usages</w:t>
      </w:r>
      <w:r>
        <w:rPr>
          <w:spacing w:val="1"/>
        </w:rPr>
        <w:t xml:space="preserve"> </w:t>
      </w:r>
      <w:proofErr w:type="spellStart"/>
      <w:r>
        <w:t>contemporains</w:t>
      </w:r>
      <w:proofErr w:type="spellEnd"/>
      <w:r>
        <w:t xml:space="preserve"> et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opérés</w:t>
      </w:r>
      <w:proofErr w:type="spellEnd"/>
      <w:r>
        <w:t xml:space="preserve"> par </w:t>
      </w:r>
      <w:proofErr w:type="spellStart"/>
      <w:r>
        <w:t>Camplus</w:t>
      </w:r>
      <w:proofErr w:type="spellEnd"/>
      <w:r>
        <w:t xml:space="preserve">, </w:t>
      </w:r>
      <w:proofErr w:type="spellStart"/>
      <w:r>
        <w:t>gestionnaire</w:t>
      </w:r>
      <w:proofErr w:type="spellEnd"/>
      <w:r>
        <w:t xml:space="preserve"> </w:t>
      </w:r>
      <w:proofErr w:type="spellStart"/>
      <w:r>
        <w:t>italien</w:t>
      </w:r>
      <w:proofErr w:type="spellEnd"/>
      <w:r>
        <w:t xml:space="preserve"> </w:t>
      </w:r>
      <w:proofErr w:type="spellStart"/>
      <w:r>
        <w:t>spécialiste</w:t>
      </w:r>
      <w:proofErr w:type="spellEnd"/>
      <w:r>
        <w:t xml:space="preserve"> de premier plan de </w:t>
      </w:r>
      <w:proofErr w:type="spellStart"/>
      <w:r>
        <w:t>résidences</w:t>
      </w:r>
      <w:proofErr w:type="spellEnd"/>
      <w:r>
        <w:rPr>
          <w:spacing w:val="1"/>
        </w:rPr>
        <w:t xml:space="preserve"> </w:t>
      </w:r>
      <w:proofErr w:type="spellStart"/>
      <w:r>
        <w:t>étudiantes</w:t>
      </w:r>
      <w:proofErr w:type="spellEnd"/>
      <w:r>
        <w:t xml:space="preserve">. </w:t>
      </w:r>
      <w:proofErr w:type="spellStart"/>
      <w:r>
        <w:t>Ces</w:t>
      </w:r>
      <w:proofErr w:type="spellEnd"/>
      <w:r>
        <w:t xml:space="preserve"> </w:t>
      </w:r>
      <w:proofErr w:type="spellStart"/>
      <w:r>
        <w:t>nouvelles</w:t>
      </w:r>
      <w:proofErr w:type="spellEnd"/>
      <w:r>
        <w:t xml:space="preserve"> </w:t>
      </w:r>
      <w:proofErr w:type="spellStart"/>
      <w:r>
        <w:t>résidences</w:t>
      </w:r>
      <w:proofErr w:type="spellEnd"/>
      <w:r>
        <w:t xml:space="preserve"> </w:t>
      </w:r>
      <w:proofErr w:type="spellStart"/>
      <w:r>
        <w:t>totalis</w:t>
      </w:r>
      <w:r>
        <w:t>eront</w:t>
      </w:r>
      <w:proofErr w:type="spellEnd"/>
      <w:r>
        <w:t xml:space="preserve"> 288 </w:t>
      </w:r>
      <w:proofErr w:type="spellStart"/>
      <w:r>
        <w:t>lits</w:t>
      </w:r>
      <w:proofErr w:type="spellEnd"/>
      <w:r>
        <w:t xml:space="preserve"> à Rennes et 209 </w:t>
      </w:r>
      <w:proofErr w:type="spellStart"/>
      <w:r>
        <w:t>lits</w:t>
      </w:r>
      <w:proofErr w:type="spellEnd"/>
      <w:r>
        <w:t xml:space="preserve"> à Bordeaux,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métropoles</w:t>
      </w:r>
      <w:proofErr w:type="spellEnd"/>
      <w:r>
        <w:t xml:space="preserve"> </w:t>
      </w:r>
      <w:proofErr w:type="spellStart"/>
      <w:r>
        <w:t>où</w:t>
      </w:r>
      <w:proofErr w:type="spellEnd"/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tension</w:t>
      </w:r>
      <w:r>
        <w:rPr>
          <w:spacing w:val="-5"/>
        </w:rPr>
        <w:t xml:space="preserve"> </w:t>
      </w:r>
      <w:proofErr w:type="spellStart"/>
      <w:r>
        <w:t>sur</w:t>
      </w:r>
      <w:proofErr w:type="spellEnd"/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proofErr w:type="spellStart"/>
      <w:r>
        <w:t>logement</w:t>
      </w:r>
      <w:proofErr w:type="spellEnd"/>
      <w:r>
        <w:rPr>
          <w:spacing w:val="-5"/>
        </w:rPr>
        <w:t xml:space="preserve"> </w:t>
      </w:r>
      <w:proofErr w:type="spellStart"/>
      <w:r>
        <w:t>étudiant</w:t>
      </w:r>
      <w:proofErr w:type="spellEnd"/>
      <w:r>
        <w:rPr>
          <w:spacing w:val="-5"/>
        </w:rPr>
        <w:t xml:space="preserve"> </w:t>
      </w:r>
      <w:proofErr w:type="spellStart"/>
      <w:r>
        <w:t>demeure</w:t>
      </w:r>
      <w:proofErr w:type="spellEnd"/>
      <w:r>
        <w:rPr>
          <w:spacing w:val="-6"/>
        </w:rPr>
        <w:t xml:space="preserve"> </w:t>
      </w:r>
      <w:proofErr w:type="spellStart"/>
      <w:r>
        <w:t>particulièrement</w:t>
      </w:r>
      <w:proofErr w:type="spellEnd"/>
      <w:r>
        <w:rPr>
          <w:spacing w:val="-5"/>
        </w:rPr>
        <w:t xml:space="preserve"> </w:t>
      </w:r>
      <w:proofErr w:type="spellStart"/>
      <w:r>
        <w:t>élevée</w:t>
      </w:r>
      <w:proofErr w:type="spellEnd"/>
      <w:r>
        <w:rPr>
          <w:spacing w:val="-5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Rennes</w:t>
      </w:r>
      <w:r>
        <w:rPr>
          <w:spacing w:val="-6"/>
        </w:rPr>
        <w:t xml:space="preserve"> </w:t>
      </w:r>
      <w:proofErr w:type="spellStart"/>
      <w:r>
        <w:t>compte</w:t>
      </w:r>
      <w:proofErr w:type="spellEnd"/>
      <w:r>
        <w:rPr>
          <w:spacing w:val="-6"/>
        </w:rPr>
        <w:t xml:space="preserve"> </w:t>
      </w:r>
      <w:proofErr w:type="spellStart"/>
      <w:r>
        <w:t>près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%</w:t>
      </w:r>
      <w:r>
        <w:rPr>
          <w:spacing w:val="-5"/>
        </w:rPr>
        <w:t xml:space="preserve"> </w:t>
      </w:r>
      <w:proofErr w:type="spellStart"/>
      <w:r>
        <w:t>d’étudiants</w:t>
      </w:r>
      <w:proofErr w:type="spellEnd"/>
      <w:r>
        <w:rPr>
          <w:spacing w:val="1"/>
        </w:rP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population</w:t>
      </w:r>
      <w:hyperlink w:anchor="_bookmark0" w:history="1">
        <w:r>
          <w:rPr>
            <w:vertAlign w:val="superscript"/>
          </w:rPr>
          <w:t>1</w:t>
        </w:r>
      </w:hyperlink>
      <w:r>
        <w:t xml:space="preserve">, </w:t>
      </w:r>
      <w:proofErr w:type="spellStart"/>
      <w:r>
        <w:t>tandis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Bordeaux </w:t>
      </w:r>
      <w:proofErr w:type="spellStart"/>
      <w:r>
        <w:t>affiche</w:t>
      </w:r>
      <w:proofErr w:type="spellEnd"/>
      <w:r>
        <w:t xml:space="preserve"> </w:t>
      </w:r>
      <w:proofErr w:type="spellStart"/>
      <w:r>
        <w:t>l</w:t>
      </w:r>
      <w:r>
        <w:t>’un</w:t>
      </w:r>
      <w:proofErr w:type="spellEnd"/>
      <w:r>
        <w:t xml:space="preserve"> des ratios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d’étudiant</w:t>
      </w:r>
      <w:proofErr w:type="spellEnd"/>
      <w:r>
        <w:t xml:space="preserve"> par habitant les plus </w:t>
      </w:r>
      <w:proofErr w:type="spellStart"/>
      <w:r>
        <w:t>élevés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France</w:t>
      </w:r>
      <w:hyperlink w:anchor="_bookmark1" w:history="1">
        <w:r>
          <w:rPr>
            <w:vertAlign w:val="superscript"/>
          </w:rPr>
          <w:t>2</w:t>
        </w:r>
      </w:hyperlink>
      <w:r>
        <w:t>.</w:t>
      </w:r>
    </w:p>
    <w:p w:rsidR="00476636" w:rsidRDefault="00476636">
      <w:pPr>
        <w:pStyle w:val="Corpsdetexte"/>
        <w:spacing w:before="8"/>
        <w:rPr>
          <w:sz w:val="19"/>
        </w:rPr>
      </w:pPr>
    </w:p>
    <w:p w:rsidR="00476636" w:rsidRDefault="00C7078A">
      <w:pPr>
        <w:pStyle w:val="Corpsdetexte"/>
        <w:spacing w:line="276" w:lineRule="auto"/>
        <w:ind w:left="680" w:right="999"/>
        <w:jc w:val="both"/>
      </w:pPr>
      <w:r>
        <w:t>Le</w:t>
      </w:r>
      <w:r>
        <w:rPr>
          <w:spacing w:val="1"/>
        </w:rPr>
        <w:t xml:space="preserve"> </w:t>
      </w:r>
      <w:proofErr w:type="spellStart"/>
      <w:r>
        <w:t>financement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structuré</w:t>
      </w:r>
      <w:proofErr w:type="spellEnd"/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proofErr w:type="spellStart"/>
      <w:r>
        <w:t>Banque</w:t>
      </w:r>
      <w:proofErr w:type="spellEnd"/>
      <w:r>
        <w:rPr>
          <w:spacing w:val="1"/>
        </w:rPr>
        <w:t xml:space="preserve"> </w:t>
      </w:r>
      <w:proofErr w:type="spellStart"/>
      <w:r>
        <w:t>Entreprises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t>Institutionnels</w:t>
      </w:r>
      <w:proofErr w:type="spellEnd"/>
      <w:r>
        <w:t>,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proofErr w:type="spellStart"/>
      <w:r>
        <w:t>intervient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proofErr w:type="spellStart"/>
      <w:r>
        <w:t>qualité</w:t>
      </w:r>
      <w:proofErr w:type="spellEnd"/>
      <w:r>
        <w:rPr>
          <w:spacing w:val="1"/>
        </w:rPr>
        <w:t xml:space="preserve"> </w:t>
      </w:r>
      <w:proofErr w:type="spellStart"/>
      <w:r>
        <w:t>d’arrangeur</w:t>
      </w:r>
      <w:proofErr w:type="spellEnd"/>
      <w:r>
        <w:t xml:space="preserve">, </w:t>
      </w:r>
      <w:proofErr w:type="spellStart"/>
      <w:r>
        <w:t>coordinateur</w:t>
      </w:r>
      <w:proofErr w:type="spellEnd"/>
      <w:r>
        <w:t xml:space="preserve"> et </w:t>
      </w:r>
      <w:proofErr w:type="spellStart"/>
      <w:r>
        <w:t>prêteur</w:t>
      </w:r>
      <w:proofErr w:type="spellEnd"/>
      <w:r>
        <w:t xml:space="preserve">. </w:t>
      </w:r>
      <w:proofErr w:type="spellStart"/>
      <w:r>
        <w:t>Acteur</w:t>
      </w:r>
      <w:proofErr w:type="spellEnd"/>
      <w:r>
        <w:t xml:space="preserve"> </w:t>
      </w:r>
      <w:proofErr w:type="spellStart"/>
      <w:r>
        <w:t>engagé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la </w:t>
      </w:r>
      <w:proofErr w:type="spellStart"/>
      <w:r>
        <w:t>chaîne</w:t>
      </w:r>
      <w:proofErr w:type="spellEnd"/>
      <w:r>
        <w:t xml:space="preserve"> de </w:t>
      </w:r>
      <w:proofErr w:type="spellStart"/>
      <w:r>
        <w:t>valeur</w:t>
      </w:r>
      <w:proofErr w:type="spellEnd"/>
      <w:r>
        <w:t xml:space="preserve"> de </w:t>
      </w:r>
      <w:proofErr w:type="spellStart"/>
      <w:r>
        <w:t>l’immobilier</w:t>
      </w:r>
      <w:proofErr w:type="spellEnd"/>
      <w:r>
        <w:t xml:space="preserve">, la </w:t>
      </w:r>
      <w:proofErr w:type="spellStart"/>
      <w:r>
        <w:t>banque</w:t>
      </w:r>
      <w:proofErr w:type="spellEnd"/>
      <w:r>
        <w:rPr>
          <w:spacing w:val="1"/>
        </w:rPr>
        <w:t xml:space="preserve"> </w:t>
      </w:r>
      <w:proofErr w:type="spellStart"/>
      <w:r>
        <w:t>démontre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nouvelle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capacité</w:t>
      </w:r>
      <w:proofErr w:type="spellEnd"/>
      <w:r>
        <w:t xml:space="preserve"> à </w:t>
      </w:r>
      <w:proofErr w:type="spellStart"/>
      <w:r>
        <w:t>accompagner</w:t>
      </w:r>
      <w:proofErr w:type="spellEnd"/>
      <w:r>
        <w:t xml:space="preserve"> des montages complexes et </w:t>
      </w:r>
      <w:proofErr w:type="spellStart"/>
      <w:r>
        <w:t>s’inscrit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son </w:t>
      </w:r>
      <w:proofErr w:type="spellStart"/>
      <w:r>
        <w:t>rôle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partenaire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proofErr w:type="spellStart"/>
      <w:r>
        <w:t>terme</w:t>
      </w:r>
      <w:proofErr w:type="spellEnd"/>
      <w:r>
        <w:rPr>
          <w:spacing w:val="-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proofErr w:type="spellStart"/>
      <w:r>
        <w:t>d</w:t>
      </w:r>
      <w:r>
        <w:t>éveloppement</w:t>
      </w:r>
      <w:proofErr w:type="spellEnd"/>
      <w:r>
        <w:t xml:space="preserve"> des </w:t>
      </w:r>
      <w:proofErr w:type="spellStart"/>
      <w:r>
        <w:t>territoires</w:t>
      </w:r>
      <w:proofErr w:type="spellEnd"/>
      <w:r>
        <w:t>.</w:t>
      </w:r>
    </w:p>
    <w:p w:rsidR="00476636" w:rsidRDefault="00476636">
      <w:pPr>
        <w:pStyle w:val="Corpsdetexte"/>
        <w:spacing w:before="8"/>
        <w:rPr>
          <w:sz w:val="19"/>
        </w:rPr>
      </w:pPr>
    </w:p>
    <w:p w:rsidR="00476636" w:rsidRDefault="00C7078A">
      <w:pPr>
        <w:pStyle w:val="Corpsdetexte"/>
        <w:spacing w:line="276" w:lineRule="auto"/>
        <w:ind w:left="680" w:right="997"/>
        <w:jc w:val="both"/>
      </w:pPr>
      <w:r>
        <w:t xml:space="preserve">La SOCFIM, 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immobilière</w:t>
      </w:r>
      <w:proofErr w:type="spellEnd"/>
      <w:r>
        <w:t xml:space="preserve"> du </w:t>
      </w:r>
      <w:proofErr w:type="spellStart"/>
      <w:r>
        <w:t>Groupe</w:t>
      </w:r>
      <w:proofErr w:type="spellEnd"/>
      <w:r>
        <w:t xml:space="preserve"> BPCE, </w:t>
      </w:r>
      <w:proofErr w:type="spellStart"/>
      <w:r>
        <w:t>intervient</w:t>
      </w:r>
      <w:proofErr w:type="spellEnd"/>
      <w:r>
        <w:t xml:space="preserve"> en </w:t>
      </w:r>
      <w:proofErr w:type="spellStart"/>
      <w:r>
        <w:t>cofinanceur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assure 50 % des </w:t>
      </w:r>
      <w:proofErr w:type="spellStart"/>
      <w:r>
        <w:t>montants</w:t>
      </w:r>
      <w:proofErr w:type="spellEnd"/>
      <w:r>
        <w:rPr>
          <w:spacing w:val="1"/>
        </w:rPr>
        <w:t xml:space="preserve"> </w:t>
      </w:r>
      <w:proofErr w:type="spellStart"/>
      <w:r>
        <w:t>engagés</w:t>
      </w:r>
      <w:proofErr w:type="spellEnd"/>
      <w:r>
        <w:t>.</w:t>
      </w:r>
    </w:p>
    <w:p w:rsidR="00476636" w:rsidRDefault="00476636">
      <w:pPr>
        <w:pStyle w:val="Corpsdetexte"/>
        <w:spacing w:before="8"/>
        <w:rPr>
          <w:sz w:val="19"/>
        </w:rPr>
      </w:pPr>
    </w:p>
    <w:p w:rsidR="00476636" w:rsidRDefault="00C7078A">
      <w:pPr>
        <w:spacing w:before="1" w:line="276" w:lineRule="auto"/>
        <w:ind w:left="680" w:right="993"/>
        <w:jc w:val="both"/>
        <w:rPr>
          <w:i/>
          <w:sz w:val="20"/>
        </w:rPr>
      </w:pPr>
      <w:r>
        <w:rPr>
          <w:b/>
          <w:sz w:val="20"/>
        </w:rPr>
        <w:t>Tanguy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Mejat</w:t>
      </w:r>
      <w:proofErr w:type="spellEnd"/>
      <w:r>
        <w:rPr>
          <w:b/>
          <w:sz w:val="20"/>
        </w:rPr>
        <w:t>,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Responsable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Département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Immobilier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Institutionnels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sein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Direction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Financements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spécialisés</w:t>
      </w:r>
      <w:proofErr w:type="spellEnd"/>
      <w:r>
        <w:rPr>
          <w:b/>
          <w:sz w:val="20"/>
        </w:rPr>
        <w:t xml:space="preserve"> Paris </w:t>
      </w:r>
      <w:proofErr w:type="spellStart"/>
      <w:r>
        <w:rPr>
          <w:b/>
          <w:sz w:val="20"/>
        </w:rPr>
        <w:t>d’Arkéa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Banque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Entreprises</w:t>
      </w:r>
      <w:proofErr w:type="spellEnd"/>
      <w:r>
        <w:rPr>
          <w:b/>
          <w:sz w:val="20"/>
        </w:rPr>
        <w:t xml:space="preserve"> et </w:t>
      </w:r>
      <w:proofErr w:type="spellStart"/>
      <w:r>
        <w:rPr>
          <w:b/>
          <w:sz w:val="20"/>
        </w:rPr>
        <w:t>Institutionnels</w:t>
      </w:r>
      <w:proofErr w:type="spellEnd"/>
      <w:r>
        <w:rPr>
          <w:sz w:val="20"/>
        </w:rPr>
        <w:t xml:space="preserve">, </w:t>
      </w:r>
      <w:proofErr w:type="spellStart"/>
      <w:proofErr w:type="gramStart"/>
      <w:r>
        <w:rPr>
          <w:sz w:val="20"/>
        </w:rPr>
        <w:t>déclare</w:t>
      </w:r>
      <w:proofErr w:type="spellEnd"/>
      <w:r>
        <w:rPr>
          <w:sz w:val="20"/>
        </w:rPr>
        <w:t xml:space="preserve"> :</w:t>
      </w:r>
      <w:proofErr w:type="gramEnd"/>
      <w:r>
        <w:rPr>
          <w:sz w:val="20"/>
        </w:rPr>
        <w:t xml:space="preserve"> “</w:t>
      </w:r>
      <w:r>
        <w:rPr>
          <w:i/>
          <w:sz w:val="20"/>
        </w:rPr>
        <w:t xml:space="preserve">En </w:t>
      </w:r>
      <w:proofErr w:type="spellStart"/>
      <w:r>
        <w:rPr>
          <w:i/>
          <w:sz w:val="20"/>
        </w:rPr>
        <w:t>structurant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ce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financement</w:t>
      </w:r>
      <w:proofErr w:type="spellEnd"/>
      <w:r>
        <w:rPr>
          <w:i/>
          <w:sz w:val="20"/>
        </w:rPr>
        <w:t>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nous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avons</w:t>
      </w:r>
      <w:proofErr w:type="spellEnd"/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z w:val="20"/>
        </w:rPr>
        <w:t>mobilisé</w:t>
      </w:r>
      <w:proofErr w:type="spellEnd"/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l’ensemble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nos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expertises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accompagner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investisseurs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engagés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sur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un segment </w:t>
      </w:r>
      <w:proofErr w:type="spellStart"/>
      <w:r>
        <w:rPr>
          <w:i/>
          <w:sz w:val="20"/>
        </w:rPr>
        <w:t>où</w:t>
      </w:r>
      <w:proofErr w:type="spellEnd"/>
      <w:r>
        <w:rPr>
          <w:i/>
          <w:sz w:val="20"/>
        </w:rPr>
        <w:t xml:space="preserve"> les </w:t>
      </w:r>
      <w:proofErr w:type="spellStart"/>
      <w:r>
        <w:rPr>
          <w:i/>
          <w:sz w:val="20"/>
        </w:rPr>
        <w:t>besoins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restent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majeurs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Ces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résidences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répondent</w:t>
      </w:r>
      <w:proofErr w:type="spellEnd"/>
      <w:r>
        <w:rPr>
          <w:i/>
          <w:sz w:val="20"/>
        </w:rPr>
        <w:t xml:space="preserve"> à des </w:t>
      </w:r>
      <w:proofErr w:type="spellStart"/>
      <w:r>
        <w:rPr>
          <w:i/>
          <w:sz w:val="20"/>
        </w:rPr>
        <w:t>attentes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très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concrètes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dans</w:t>
      </w:r>
      <w:proofErr w:type="spellEnd"/>
      <w:r>
        <w:rPr>
          <w:i/>
          <w:sz w:val="20"/>
        </w:rPr>
        <w:t xml:space="preserve"> des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métropoles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croissance</w:t>
      </w:r>
      <w:proofErr w:type="spellEnd"/>
      <w:r>
        <w:rPr>
          <w:i/>
          <w:sz w:val="20"/>
        </w:rPr>
        <w:t>.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Elles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illustrent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capacité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d’Arkéa</w:t>
      </w:r>
      <w:proofErr w:type="spellEnd"/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Banque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E&amp;I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réunir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plusieurs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ses</w:t>
      </w:r>
      <w:proofErr w:type="spellEnd"/>
      <w:proofErr w:type="gram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métiers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autour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d’opérations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combinant</w:t>
      </w:r>
      <w:proofErr w:type="spellEnd"/>
      <w:r>
        <w:rPr>
          <w:i/>
          <w:sz w:val="20"/>
        </w:rPr>
        <w:t xml:space="preserve"> impact terr</w:t>
      </w:r>
      <w:r>
        <w:rPr>
          <w:i/>
          <w:sz w:val="20"/>
        </w:rPr>
        <w:t xml:space="preserve">itorial, </w:t>
      </w:r>
      <w:proofErr w:type="spellStart"/>
      <w:r>
        <w:rPr>
          <w:i/>
          <w:sz w:val="20"/>
        </w:rPr>
        <w:t>maîtrise</w:t>
      </w:r>
      <w:proofErr w:type="spellEnd"/>
      <w:r>
        <w:rPr>
          <w:i/>
          <w:sz w:val="20"/>
        </w:rPr>
        <w:t xml:space="preserve"> technique et </w:t>
      </w:r>
      <w:proofErr w:type="spellStart"/>
      <w:r>
        <w:rPr>
          <w:i/>
          <w:sz w:val="20"/>
        </w:rPr>
        <w:t>solidité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financière</w:t>
      </w:r>
      <w:proofErr w:type="spellEnd"/>
      <w:r>
        <w:rPr>
          <w:i/>
          <w:sz w:val="20"/>
        </w:rPr>
        <w:t xml:space="preserve">. </w:t>
      </w:r>
      <w:proofErr w:type="spellStart"/>
      <w:r>
        <w:rPr>
          <w:i/>
          <w:sz w:val="20"/>
        </w:rPr>
        <w:t>Cette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opération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s’inscrit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pleinement</w:t>
      </w:r>
      <w:proofErr w:type="spellEnd"/>
      <w:r>
        <w:rPr>
          <w:i/>
          <w:spacing w:val="6"/>
          <w:sz w:val="20"/>
        </w:rPr>
        <w:t xml:space="preserve"> </w:t>
      </w:r>
      <w:proofErr w:type="spellStart"/>
      <w:r>
        <w:rPr>
          <w:i/>
          <w:sz w:val="20"/>
        </w:rPr>
        <w:t>dans</w:t>
      </w:r>
      <w:proofErr w:type="spellEnd"/>
      <w:r>
        <w:rPr>
          <w:i/>
          <w:spacing w:val="5"/>
          <w:sz w:val="20"/>
        </w:rPr>
        <w:t xml:space="preserve"> </w:t>
      </w:r>
      <w:proofErr w:type="spellStart"/>
      <w:r>
        <w:rPr>
          <w:i/>
          <w:sz w:val="20"/>
        </w:rPr>
        <w:t>notre</w:t>
      </w:r>
      <w:proofErr w:type="spellEnd"/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plan</w:t>
      </w:r>
      <w:r>
        <w:rPr>
          <w:i/>
          <w:spacing w:val="6"/>
          <w:sz w:val="20"/>
        </w:rPr>
        <w:t xml:space="preserve"> </w:t>
      </w:r>
      <w:proofErr w:type="spellStart"/>
      <w:r>
        <w:rPr>
          <w:i/>
          <w:sz w:val="20"/>
        </w:rPr>
        <w:t>stratégique</w:t>
      </w:r>
      <w:proofErr w:type="spellEnd"/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Faire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2030,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qui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vise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6"/>
          <w:sz w:val="20"/>
        </w:rPr>
        <w:t xml:space="preserve"> </w:t>
      </w:r>
      <w:proofErr w:type="spellStart"/>
      <w:r>
        <w:rPr>
          <w:i/>
          <w:sz w:val="20"/>
        </w:rPr>
        <w:t>soutenir</w:t>
      </w:r>
      <w:proofErr w:type="spellEnd"/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5"/>
          <w:sz w:val="20"/>
        </w:rPr>
        <w:t xml:space="preserve"> </w:t>
      </w:r>
      <w:proofErr w:type="spellStart"/>
      <w:r>
        <w:rPr>
          <w:i/>
          <w:sz w:val="20"/>
        </w:rPr>
        <w:t>projets</w:t>
      </w:r>
      <w:proofErr w:type="spellEnd"/>
      <w:r>
        <w:rPr>
          <w:i/>
          <w:spacing w:val="6"/>
          <w:sz w:val="20"/>
        </w:rPr>
        <w:t xml:space="preserve"> </w:t>
      </w:r>
      <w:proofErr w:type="spellStart"/>
      <w:r>
        <w:rPr>
          <w:i/>
          <w:sz w:val="20"/>
        </w:rPr>
        <w:t>utiles</w:t>
      </w:r>
      <w:proofErr w:type="spellEnd"/>
      <w:r>
        <w:rPr>
          <w:i/>
          <w:sz w:val="20"/>
        </w:rPr>
        <w:t>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durables</w:t>
      </w:r>
      <w:r>
        <w:rPr>
          <w:i/>
          <w:spacing w:val="5"/>
          <w:sz w:val="20"/>
        </w:rPr>
        <w:t xml:space="preserve"> </w:t>
      </w:r>
      <w:proofErr w:type="gramStart"/>
      <w:r>
        <w:rPr>
          <w:i/>
          <w:sz w:val="20"/>
        </w:rPr>
        <w:t>et</w:t>
      </w:r>
      <w:proofErr w:type="gramEnd"/>
      <w:r>
        <w:rPr>
          <w:i/>
          <w:spacing w:val="6"/>
          <w:sz w:val="20"/>
        </w:rPr>
        <w:t xml:space="preserve"> </w:t>
      </w:r>
      <w:proofErr w:type="spellStart"/>
      <w:r>
        <w:rPr>
          <w:i/>
          <w:sz w:val="20"/>
        </w:rPr>
        <w:t>créateurs</w:t>
      </w:r>
      <w:proofErr w:type="spellEnd"/>
    </w:p>
    <w:p w:rsidR="00476636" w:rsidRDefault="00476636">
      <w:pPr>
        <w:pStyle w:val="Corpsdetexte"/>
        <w:rPr>
          <w:i/>
          <w:sz w:val="25"/>
        </w:rPr>
      </w:pPr>
    </w:p>
    <w:p w:rsidR="00476636" w:rsidRDefault="00C7078A">
      <w:pPr>
        <w:spacing w:before="86" w:line="259" w:lineRule="auto"/>
        <w:ind w:left="680" w:right="8496"/>
        <w:rPr>
          <w:rFonts w:ascii="Arial" w:hAnsi="Arial"/>
          <w:sz w:val="14"/>
        </w:rPr>
      </w:pPr>
      <w:bookmarkStart w:id="0" w:name="_bookmark0"/>
      <w:bookmarkEnd w:id="0"/>
      <w:r>
        <w:rPr>
          <w:rFonts w:ascii="Arial" w:hAnsi="Arial"/>
          <w:position w:val="8"/>
          <w:sz w:val="14"/>
        </w:rPr>
        <w:t>1</w:t>
      </w:r>
      <w:r>
        <w:rPr>
          <w:rFonts w:ascii="Arial" w:hAnsi="Arial"/>
          <w:spacing w:val="-5"/>
          <w:position w:val="8"/>
          <w:sz w:val="14"/>
        </w:rPr>
        <w:t xml:space="preserve"> </w:t>
      </w:r>
      <w:proofErr w:type="gramStart"/>
      <w:r>
        <w:rPr>
          <w:rFonts w:ascii="Arial" w:hAnsi="Arial"/>
          <w:sz w:val="14"/>
        </w:rPr>
        <w:t>Source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:</w:t>
      </w:r>
      <w:proofErr w:type="gramEnd"/>
      <w:r>
        <w:rPr>
          <w:rFonts w:ascii="Arial" w:hAnsi="Arial"/>
          <w:spacing w:val="-2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Ouest</w:t>
      </w:r>
      <w:proofErr w:type="spellEnd"/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France</w:t>
      </w:r>
      <w:r>
        <w:rPr>
          <w:rFonts w:ascii="Arial" w:hAnsi="Arial"/>
          <w:spacing w:val="-36"/>
          <w:sz w:val="14"/>
        </w:rPr>
        <w:t xml:space="preserve"> </w:t>
      </w:r>
      <w:bookmarkStart w:id="1" w:name="_bookmark1"/>
      <w:bookmarkEnd w:id="1"/>
      <w:r>
        <w:rPr>
          <w:rFonts w:ascii="Arial" w:hAnsi="Arial"/>
          <w:position w:val="8"/>
          <w:sz w:val="14"/>
        </w:rPr>
        <w:t>2</w:t>
      </w:r>
      <w:r>
        <w:rPr>
          <w:rFonts w:ascii="Arial" w:hAnsi="Arial"/>
          <w:spacing w:val="-4"/>
          <w:position w:val="8"/>
          <w:sz w:val="14"/>
        </w:rPr>
        <w:t xml:space="preserve"> </w:t>
      </w:r>
      <w:r>
        <w:rPr>
          <w:rFonts w:ascii="Arial" w:hAnsi="Arial"/>
          <w:sz w:val="14"/>
        </w:rPr>
        <w:t>Source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 xml:space="preserve">: </w:t>
      </w:r>
      <w:proofErr w:type="spellStart"/>
      <w:r>
        <w:rPr>
          <w:rFonts w:ascii="Arial" w:hAnsi="Arial"/>
          <w:sz w:val="14"/>
        </w:rPr>
        <w:t>L’Etudiant</w:t>
      </w:r>
      <w:proofErr w:type="spellEnd"/>
    </w:p>
    <w:p w:rsidR="00476636" w:rsidRDefault="00476636">
      <w:pPr>
        <w:spacing w:line="259" w:lineRule="auto"/>
        <w:rPr>
          <w:rFonts w:ascii="Arial" w:hAnsi="Arial"/>
          <w:sz w:val="14"/>
        </w:rPr>
        <w:sectPr w:rsidR="00476636">
          <w:type w:val="continuous"/>
          <w:pgSz w:w="11910" w:h="16840"/>
          <w:pgMar w:top="1580" w:right="440" w:bottom="280" w:left="760" w:header="720" w:footer="720" w:gutter="0"/>
          <w:cols w:space="720"/>
        </w:sectPr>
      </w:pPr>
    </w:p>
    <w:p w:rsidR="00476636" w:rsidRDefault="00C7078A">
      <w:pPr>
        <w:spacing w:before="48" w:line="276" w:lineRule="auto"/>
        <w:ind w:left="680" w:right="995"/>
        <w:jc w:val="both"/>
        <w:rPr>
          <w:sz w:val="20"/>
        </w:rPr>
      </w:pPr>
      <w:proofErr w:type="gramStart"/>
      <w:r>
        <w:rPr>
          <w:i/>
          <w:sz w:val="20"/>
        </w:rPr>
        <w:lastRenderedPageBreak/>
        <w:t>de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valeur</w:t>
      </w:r>
      <w:proofErr w:type="spellEnd"/>
      <w:r>
        <w:rPr>
          <w:i/>
          <w:sz w:val="20"/>
        </w:rPr>
        <w:t xml:space="preserve"> pour les </w:t>
      </w:r>
      <w:proofErr w:type="spellStart"/>
      <w:r>
        <w:rPr>
          <w:i/>
          <w:sz w:val="20"/>
        </w:rPr>
        <w:t>territoires</w:t>
      </w:r>
      <w:proofErr w:type="spellEnd"/>
      <w:r>
        <w:rPr>
          <w:i/>
          <w:sz w:val="20"/>
        </w:rPr>
        <w:t xml:space="preserve">. Nous </w:t>
      </w:r>
      <w:proofErr w:type="spellStart"/>
      <w:r>
        <w:rPr>
          <w:i/>
          <w:sz w:val="20"/>
        </w:rPr>
        <w:t>sommes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fiers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contribuer</w:t>
      </w:r>
      <w:proofErr w:type="spellEnd"/>
      <w:r>
        <w:rPr>
          <w:i/>
          <w:sz w:val="20"/>
        </w:rPr>
        <w:t xml:space="preserve"> à des </w:t>
      </w:r>
      <w:proofErr w:type="spellStart"/>
      <w:r>
        <w:rPr>
          <w:i/>
          <w:sz w:val="20"/>
        </w:rPr>
        <w:t>projets</w:t>
      </w:r>
      <w:proofErr w:type="spellEnd"/>
      <w:r>
        <w:rPr>
          <w:i/>
          <w:sz w:val="20"/>
        </w:rPr>
        <w:t xml:space="preserve"> qui </w:t>
      </w:r>
      <w:proofErr w:type="spellStart"/>
      <w:r>
        <w:rPr>
          <w:i/>
          <w:sz w:val="20"/>
        </w:rPr>
        <w:t>renforcent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durablement</w:t>
      </w:r>
      <w:proofErr w:type="spellEnd"/>
      <w:r>
        <w:rPr>
          <w:i/>
          <w:sz w:val="20"/>
        </w:rPr>
        <w:t xml:space="preserve"> le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dynamisme</w:t>
      </w:r>
      <w:proofErr w:type="spellEnd"/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>et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l’attractivité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Rennes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et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Bordeaux.</w:t>
      </w:r>
      <w:r>
        <w:rPr>
          <w:sz w:val="20"/>
        </w:rPr>
        <w:t>”</w:t>
      </w:r>
    </w:p>
    <w:p w:rsidR="00476636" w:rsidRDefault="00476636">
      <w:pPr>
        <w:pStyle w:val="Corpsdetexte"/>
        <w:spacing w:before="8"/>
        <w:rPr>
          <w:sz w:val="19"/>
        </w:rPr>
      </w:pPr>
    </w:p>
    <w:p w:rsidR="00476636" w:rsidRDefault="00C7078A">
      <w:pPr>
        <w:pStyle w:val="Corpsdetexte"/>
        <w:spacing w:line="276" w:lineRule="auto"/>
        <w:ind w:left="680" w:right="997"/>
        <w:jc w:val="both"/>
      </w:pPr>
      <w:r>
        <w:rPr>
          <w:b/>
        </w:rPr>
        <w:t xml:space="preserve">Pierre </w:t>
      </w:r>
      <w:proofErr w:type="spellStart"/>
      <w:r>
        <w:rPr>
          <w:b/>
        </w:rPr>
        <w:t>Julin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Directeur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Général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DeA</w:t>
      </w:r>
      <w:proofErr w:type="spellEnd"/>
      <w:r>
        <w:rPr>
          <w:b/>
        </w:rPr>
        <w:t xml:space="preserve"> France </w:t>
      </w:r>
      <w:proofErr w:type="spellStart"/>
      <w:proofErr w:type="gramStart"/>
      <w:r>
        <w:t>ajoute</w:t>
      </w:r>
      <w:proofErr w:type="spellEnd"/>
      <w:r>
        <w:t xml:space="preserve"> :</w:t>
      </w:r>
      <w:proofErr w:type="gramEnd"/>
      <w:r>
        <w:t xml:space="preserve"> «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ravis</w:t>
      </w:r>
      <w:proofErr w:type="spellEnd"/>
      <w:r>
        <w:t xml:space="preserve"> </w:t>
      </w:r>
      <w:proofErr w:type="spellStart"/>
      <w:r>
        <w:t>d’avoir</w:t>
      </w:r>
      <w:proofErr w:type="spellEnd"/>
      <w:r>
        <w:t xml:space="preserve"> </w:t>
      </w:r>
      <w:proofErr w:type="spellStart"/>
      <w:r>
        <w:t>pu</w:t>
      </w:r>
      <w:proofErr w:type="spellEnd"/>
      <w:r>
        <w:t xml:space="preserve"> </w:t>
      </w:r>
      <w:proofErr w:type="spellStart"/>
      <w:r>
        <w:t>bénéficier</w:t>
      </w:r>
      <w:proofErr w:type="spellEnd"/>
      <w:r>
        <w:t xml:space="preserve"> de </w:t>
      </w:r>
      <w:proofErr w:type="spellStart"/>
      <w:r>
        <w:t>l’expertise</w:t>
      </w:r>
      <w:proofErr w:type="spellEnd"/>
      <w:r>
        <w:rPr>
          <w:spacing w:val="1"/>
        </w:rPr>
        <w:t xml:space="preserve"> </w:t>
      </w:r>
      <w:r>
        <w:t>métier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proofErr w:type="spellStart"/>
      <w:r>
        <w:t>équipe</w:t>
      </w:r>
      <w:proofErr w:type="spellEnd"/>
      <w:r>
        <w:rPr>
          <w:spacing w:val="-6"/>
        </w:rPr>
        <w:t xml:space="preserve"> </w:t>
      </w:r>
      <w:proofErr w:type="spellStart"/>
      <w:r>
        <w:t>d’Arkea</w:t>
      </w:r>
      <w:proofErr w:type="spellEnd"/>
      <w:r>
        <w:rPr>
          <w:spacing w:val="-3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Socfim</w:t>
      </w:r>
      <w:proofErr w:type="spellEnd"/>
      <w:r>
        <w:t>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leur</w:t>
      </w:r>
      <w:proofErr w:type="spellEnd"/>
      <w:r>
        <w:rPr>
          <w:spacing w:val="-5"/>
        </w:rPr>
        <w:t xml:space="preserve"> </w:t>
      </w:r>
      <w:r>
        <w:t>grand</w:t>
      </w:r>
      <w:r>
        <w:rPr>
          <w:spacing w:val="-6"/>
        </w:rPr>
        <w:t xml:space="preserve"> </w:t>
      </w:r>
      <w:proofErr w:type="spellStart"/>
      <w:r>
        <w:t>professionnalisme</w:t>
      </w:r>
      <w:proofErr w:type="spellEnd"/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leur</w:t>
      </w:r>
      <w:proofErr w:type="spellEnd"/>
      <w:r>
        <w:rPr>
          <w:spacing w:val="-6"/>
        </w:rPr>
        <w:t xml:space="preserve"> </w:t>
      </w:r>
      <w:r>
        <w:t>implantation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proofErr w:type="spellStart"/>
      <w:r>
        <w:t>région</w:t>
      </w:r>
      <w:proofErr w:type="spellEnd"/>
      <w:r>
        <w:rPr>
          <w:spacing w:val="-5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financer</w:t>
      </w:r>
      <w:r>
        <w:rPr>
          <w:spacing w:val="1"/>
        </w:rPr>
        <w:t xml:space="preserve"> </w:t>
      </w:r>
      <w:proofErr w:type="spellStart"/>
      <w:r>
        <w:t>ces</w:t>
      </w:r>
      <w:proofErr w:type="spellEnd"/>
      <w:r>
        <w:rPr>
          <w:spacing w:val="1"/>
        </w:rPr>
        <w:t xml:space="preserve"> </w:t>
      </w:r>
      <w:proofErr w:type="spellStart"/>
      <w:r>
        <w:t>opérations</w:t>
      </w:r>
      <w:proofErr w:type="spellEnd"/>
      <w:r>
        <w:rPr>
          <w:spacing w:val="1"/>
        </w:rPr>
        <w:t xml:space="preserve"> </w:t>
      </w:r>
      <w:proofErr w:type="spellStart"/>
      <w:r>
        <w:t>visant</w:t>
      </w:r>
      <w:proofErr w:type="spellEnd"/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proposer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proofErr w:type="spellStart"/>
      <w:r>
        <w:t>logements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qualité</w:t>
      </w:r>
      <w:proofErr w:type="spellEnd"/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proofErr w:type="spellStart"/>
      <w:r>
        <w:t>étudiant</w:t>
      </w:r>
      <w:r>
        <w:t>s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ces</w:t>
      </w:r>
      <w:proofErr w:type="spellEnd"/>
      <w:r>
        <w:rPr>
          <w:spacing w:val="1"/>
        </w:rPr>
        <w:t xml:space="preserve"> </w:t>
      </w:r>
      <w:proofErr w:type="spellStart"/>
      <w:r>
        <w:t>grandes</w:t>
      </w:r>
      <w:proofErr w:type="spellEnd"/>
      <w:r>
        <w:rPr>
          <w:spacing w:val="1"/>
        </w:rPr>
        <w:t xml:space="preserve"> </w:t>
      </w:r>
      <w:proofErr w:type="spellStart"/>
      <w:r>
        <w:t>villes</w:t>
      </w:r>
      <w:proofErr w:type="spellEnd"/>
      <w:r>
        <w:rPr>
          <w:spacing w:val="1"/>
        </w:rPr>
        <w:t xml:space="preserve"> </w:t>
      </w:r>
      <w:proofErr w:type="spellStart"/>
      <w:r>
        <w:t>universitaires</w:t>
      </w:r>
      <w:proofErr w:type="spellEnd"/>
      <w:r>
        <w:t>.</w:t>
      </w:r>
      <w:r>
        <w:rPr>
          <w:spacing w:val="-1"/>
        </w:rPr>
        <w:t xml:space="preserve"> </w:t>
      </w:r>
      <w:r>
        <w:t>»</w:t>
      </w:r>
    </w:p>
    <w:p w:rsidR="00476636" w:rsidRDefault="00476636">
      <w:pPr>
        <w:pStyle w:val="Corpsdetexte"/>
        <w:spacing w:before="8"/>
        <w:rPr>
          <w:sz w:val="19"/>
        </w:rPr>
      </w:pPr>
    </w:p>
    <w:p w:rsidR="00476636" w:rsidRDefault="00C7078A">
      <w:pPr>
        <w:spacing w:line="276" w:lineRule="auto"/>
        <w:ind w:left="679" w:right="994"/>
        <w:jc w:val="both"/>
        <w:rPr>
          <w:b/>
          <w:sz w:val="20"/>
        </w:rPr>
      </w:pPr>
      <w:r>
        <w:rPr>
          <w:b/>
          <w:spacing w:val="-1"/>
          <w:sz w:val="20"/>
        </w:rPr>
        <w:t>Vivian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Leclerc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pacing w:val="-1"/>
          <w:sz w:val="20"/>
        </w:rPr>
        <w:t>D’Orléac</w:t>
      </w:r>
      <w:proofErr w:type="spellEnd"/>
      <w:r>
        <w:rPr>
          <w:b/>
          <w:spacing w:val="-1"/>
          <w:sz w:val="20"/>
        </w:rPr>
        <w:t>,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Global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Head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Add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Socfim</w:t>
      </w:r>
      <w:proofErr w:type="spellEnd"/>
      <w:r>
        <w:rPr>
          <w:b/>
          <w:spacing w:val="-11"/>
          <w:sz w:val="20"/>
        </w:rPr>
        <w:t xml:space="preserve"> </w:t>
      </w:r>
      <w:proofErr w:type="spellStart"/>
      <w:proofErr w:type="gramStart"/>
      <w:r>
        <w:rPr>
          <w:sz w:val="20"/>
        </w:rPr>
        <w:t>conclue</w:t>
      </w:r>
      <w:proofErr w:type="spellEnd"/>
      <w:r>
        <w:rPr>
          <w:spacing w:val="-9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«</w:t>
      </w:r>
      <w:r>
        <w:rPr>
          <w:b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participant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financement</w:t>
      </w:r>
      <w:proofErr w:type="spellEnd"/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z w:val="20"/>
        </w:rPr>
        <w:t>ces</w:t>
      </w:r>
      <w:proofErr w:type="spellEnd"/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deux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résidences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étudiantes</w:t>
      </w:r>
      <w:proofErr w:type="spellEnd"/>
      <w:r>
        <w:rPr>
          <w:i/>
          <w:sz w:val="20"/>
        </w:rPr>
        <w:t xml:space="preserve">, SOCFIM </w:t>
      </w:r>
      <w:proofErr w:type="spellStart"/>
      <w:r>
        <w:rPr>
          <w:i/>
          <w:sz w:val="20"/>
        </w:rPr>
        <w:t>réaffirme</w:t>
      </w:r>
      <w:proofErr w:type="spellEnd"/>
      <w:r>
        <w:rPr>
          <w:i/>
          <w:sz w:val="20"/>
        </w:rPr>
        <w:t xml:space="preserve"> son </w:t>
      </w:r>
      <w:proofErr w:type="spellStart"/>
      <w:r>
        <w:rPr>
          <w:i/>
          <w:sz w:val="20"/>
        </w:rPr>
        <w:t>rôle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partenaire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bancaire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référence</w:t>
      </w:r>
      <w:proofErr w:type="spellEnd"/>
      <w:r>
        <w:rPr>
          <w:i/>
          <w:sz w:val="20"/>
        </w:rPr>
        <w:t xml:space="preserve"> pour les </w:t>
      </w:r>
      <w:proofErr w:type="spellStart"/>
      <w:r>
        <w:rPr>
          <w:i/>
          <w:sz w:val="20"/>
        </w:rPr>
        <w:t>opérations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immobilières</w:t>
      </w:r>
      <w:proofErr w:type="spellEnd"/>
      <w:r>
        <w:rPr>
          <w:i/>
          <w:sz w:val="20"/>
        </w:rPr>
        <w:t xml:space="preserve"> à fort </w:t>
      </w:r>
      <w:proofErr w:type="spellStart"/>
      <w:r>
        <w:rPr>
          <w:i/>
          <w:sz w:val="20"/>
        </w:rPr>
        <w:t>enjeu</w:t>
      </w:r>
      <w:proofErr w:type="spellEnd"/>
      <w:r>
        <w:rPr>
          <w:i/>
          <w:sz w:val="20"/>
        </w:rPr>
        <w:t xml:space="preserve"> territorial. </w:t>
      </w:r>
      <w:proofErr w:type="spellStart"/>
      <w:r>
        <w:rPr>
          <w:i/>
          <w:sz w:val="20"/>
        </w:rPr>
        <w:t>Cette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opération</w:t>
      </w:r>
      <w:proofErr w:type="spellEnd"/>
      <w:r>
        <w:rPr>
          <w:i/>
          <w:sz w:val="20"/>
        </w:rPr>
        <w:t xml:space="preserve"> repose </w:t>
      </w:r>
      <w:proofErr w:type="spellStart"/>
      <w:r>
        <w:rPr>
          <w:i/>
          <w:sz w:val="20"/>
        </w:rPr>
        <w:t>sur</w:t>
      </w:r>
      <w:proofErr w:type="spellEnd"/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>un</w:t>
      </w:r>
      <w:proofErr w:type="gramEnd"/>
      <w:r>
        <w:rPr>
          <w:i/>
          <w:sz w:val="20"/>
        </w:rPr>
        <w:t xml:space="preserve"> travail </w:t>
      </w:r>
      <w:proofErr w:type="spellStart"/>
      <w:r>
        <w:rPr>
          <w:i/>
          <w:sz w:val="20"/>
        </w:rPr>
        <w:t>étroit</w:t>
      </w:r>
      <w:proofErr w:type="spellEnd"/>
      <w:r>
        <w:rPr>
          <w:i/>
          <w:sz w:val="20"/>
        </w:rPr>
        <w:t xml:space="preserve"> avec </w:t>
      </w:r>
      <w:proofErr w:type="spellStart"/>
      <w:r>
        <w:rPr>
          <w:i/>
          <w:sz w:val="20"/>
        </w:rPr>
        <w:t>Arkéa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Banque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Entreprises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et </w:t>
      </w:r>
      <w:proofErr w:type="spellStart"/>
      <w:r>
        <w:rPr>
          <w:i/>
          <w:sz w:val="20"/>
        </w:rPr>
        <w:t>Institutionnels</w:t>
      </w:r>
      <w:proofErr w:type="spellEnd"/>
      <w:r>
        <w:rPr>
          <w:i/>
          <w:sz w:val="20"/>
        </w:rPr>
        <w:t xml:space="preserve"> et </w:t>
      </w:r>
      <w:proofErr w:type="spellStart"/>
      <w:r>
        <w:rPr>
          <w:i/>
          <w:sz w:val="20"/>
        </w:rPr>
        <w:t>sur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une</w:t>
      </w:r>
      <w:proofErr w:type="spellEnd"/>
      <w:r>
        <w:rPr>
          <w:i/>
          <w:sz w:val="20"/>
        </w:rPr>
        <w:t xml:space="preserve"> structu</w:t>
      </w:r>
      <w:r>
        <w:rPr>
          <w:i/>
          <w:sz w:val="20"/>
        </w:rPr>
        <w:t xml:space="preserve">ration </w:t>
      </w:r>
      <w:proofErr w:type="spellStart"/>
      <w:r>
        <w:rPr>
          <w:i/>
          <w:sz w:val="20"/>
        </w:rPr>
        <w:t>financière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robuste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adaptée</w:t>
      </w:r>
      <w:proofErr w:type="spellEnd"/>
      <w:r>
        <w:rPr>
          <w:i/>
          <w:sz w:val="20"/>
        </w:rPr>
        <w:t xml:space="preserve"> à des </w:t>
      </w:r>
      <w:proofErr w:type="spellStart"/>
      <w:r>
        <w:rPr>
          <w:i/>
          <w:sz w:val="20"/>
        </w:rPr>
        <w:t>projets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exigeants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portés</w:t>
      </w:r>
      <w:proofErr w:type="spellEnd"/>
      <w:r>
        <w:rPr>
          <w:i/>
          <w:sz w:val="20"/>
        </w:rPr>
        <w:t xml:space="preserve"> par des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pacing w:val="-1"/>
          <w:sz w:val="20"/>
        </w:rPr>
        <w:t>investisseurs</w:t>
      </w:r>
      <w:proofErr w:type="spellEnd"/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pacing w:val="-1"/>
          <w:sz w:val="20"/>
        </w:rPr>
        <w:t>institutionnels</w:t>
      </w:r>
      <w:proofErr w:type="spellEnd"/>
      <w:r>
        <w:rPr>
          <w:i/>
          <w:spacing w:val="-1"/>
          <w:sz w:val="20"/>
        </w:rPr>
        <w:t>.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Elle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pacing w:val="-1"/>
          <w:sz w:val="20"/>
        </w:rPr>
        <w:t>s’inscrit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dans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notre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volonté</w:t>
      </w:r>
      <w:proofErr w:type="spellEnd"/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d’accompagner</w:t>
      </w:r>
      <w:proofErr w:type="spellEnd"/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développement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d’actifs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pérennes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en </w:t>
      </w:r>
      <w:proofErr w:type="spellStart"/>
      <w:r>
        <w:rPr>
          <w:i/>
          <w:sz w:val="20"/>
        </w:rPr>
        <w:t>adéquation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avec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besoins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métropoles</w:t>
      </w:r>
      <w:proofErr w:type="spellEnd"/>
      <w:r>
        <w:rPr>
          <w:i/>
          <w:spacing w:val="-2"/>
          <w:sz w:val="20"/>
        </w:rPr>
        <w:t xml:space="preserve"> </w:t>
      </w:r>
      <w:proofErr w:type="gramStart"/>
      <w:r>
        <w:rPr>
          <w:i/>
          <w:sz w:val="20"/>
        </w:rPr>
        <w:t>et</w:t>
      </w:r>
      <w:proofErr w:type="gramEnd"/>
      <w:r>
        <w:rPr>
          <w:i/>
          <w:sz w:val="20"/>
        </w:rPr>
        <w:t xml:space="preserve"> des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usages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de </w:t>
      </w:r>
      <w:proofErr w:type="spellStart"/>
      <w:r>
        <w:rPr>
          <w:i/>
          <w:sz w:val="20"/>
        </w:rPr>
        <w:t>demain</w:t>
      </w:r>
      <w:proofErr w:type="spellEnd"/>
      <w:r>
        <w:rPr>
          <w:i/>
          <w:sz w:val="20"/>
        </w:rPr>
        <w:t xml:space="preserve">. </w:t>
      </w:r>
      <w:r>
        <w:rPr>
          <w:b/>
          <w:sz w:val="20"/>
        </w:rPr>
        <w:t>»</w:t>
      </w:r>
    </w:p>
    <w:p w:rsidR="00476636" w:rsidRDefault="00476636">
      <w:pPr>
        <w:pStyle w:val="Corpsdetexte"/>
        <w:spacing w:before="8"/>
        <w:rPr>
          <w:b/>
          <w:sz w:val="19"/>
        </w:rPr>
      </w:pPr>
    </w:p>
    <w:p w:rsidR="00476636" w:rsidRDefault="00C7078A">
      <w:pPr>
        <w:pStyle w:val="Titre1"/>
      </w:pPr>
      <w:r>
        <w:rPr>
          <w:u w:val="single"/>
        </w:rPr>
        <w:t>À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Arkéa</w:t>
      </w:r>
      <w:proofErr w:type="spellEnd"/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Banque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Entreprises</w:t>
      </w:r>
      <w:proofErr w:type="spellEnd"/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et</w:t>
      </w:r>
      <w:proofErr w:type="gram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Institutionnels</w:t>
      </w:r>
      <w:proofErr w:type="spellEnd"/>
    </w:p>
    <w:p w:rsidR="00476636" w:rsidRDefault="00C7078A">
      <w:pPr>
        <w:pStyle w:val="Corpsdetexte"/>
        <w:spacing w:before="140" w:line="259" w:lineRule="auto"/>
        <w:ind w:left="680" w:right="994"/>
        <w:jc w:val="both"/>
      </w:pPr>
      <w:proofErr w:type="spellStart"/>
      <w:r>
        <w:t>Arkéa</w:t>
      </w:r>
      <w:proofErr w:type="spellEnd"/>
      <w:r>
        <w:t xml:space="preserve"> 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Entreprises</w:t>
      </w:r>
      <w:proofErr w:type="spellEnd"/>
      <w:r>
        <w:t xml:space="preserve"> et </w:t>
      </w:r>
      <w:proofErr w:type="spellStart"/>
      <w:r>
        <w:t>Institutionnels</w:t>
      </w:r>
      <w:proofErr w:type="spellEnd"/>
      <w:r>
        <w:t xml:space="preserve"> </w:t>
      </w:r>
      <w:proofErr w:type="spellStart"/>
      <w:r>
        <w:t>Arkéa</w:t>
      </w:r>
      <w:proofErr w:type="spellEnd"/>
      <w:r>
        <w:t xml:space="preserve"> 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Entreprises</w:t>
      </w:r>
      <w:proofErr w:type="spellEnd"/>
      <w:r>
        <w:t xml:space="preserve"> et </w:t>
      </w:r>
      <w:proofErr w:type="spellStart"/>
      <w:r>
        <w:t>Institutionnels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la </w:t>
      </w:r>
      <w:proofErr w:type="spellStart"/>
      <w:r>
        <w:t>filiale</w:t>
      </w:r>
      <w:proofErr w:type="spellEnd"/>
      <w:r>
        <w:t xml:space="preserve"> du </w:t>
      </w:r>
      <w:proofErr w:type="spellStart"/>
      <w:r>
        <w:t>groupe</w:t>
      </w:r>
      <w:proofErr w:type="spellEnd"/>
      <w:r>
        <w:rPr>
          <w:spacing w:val="1"/>
        </w:rPr>
        <w:t xml:space="preserve"> </w:t>
      </w:r>
      <w:proofErr w:type="spellStart"/>
      <w:r>
        <w:t>Crédit</w:t>
      </w:r>
      <w:proofErr w:type="spellEnd"/>
      <w:r>
        <w:t xml:space="preserve"> </w:t>
      </w:r>
      <w:proofErr w:type="spellStart"/>
      <w:r>
        <w:t>Mutuel</w:t>
      </w:r>
      <w:proofErr w:type="spellEnd"/>
      <w:r>
        <w:t xml:space="preserve"> </w:t>
      </w:r>
      <w:proofErr w:type="spellStart"/>
      <w:r>
        <w:t>Arkéa</w:t>
      </w:r>
      <w:proofErr w:type="spellEnd"/>
      <w:r>
        <w:t xml:space="preserve"> </w:t>
      </w:r>
      <w:proofErr w:type="spellStart"/>
      <w:r>
        <w:t>dédiée</w:t>
      </w:r>
      <w:proofErr w:type="spellEnd"/>
      <w:r>
        <w:t xml:space="preserve"> aux </w:t>
      </w:r>
      <w:proofErr w:type="spellStart"/>
      <w:r>
        <w:t>marchés</w:t>
      </w:r>
      <w:proofErr w:type="spellEnd"/>
      <w:r>
        <w:t xml:space="preserve"> des </w:t>
      </w:r>
      <w:proofErr w:type="spellStart"/>
      <w:r>
        <w:t>entreprises</w:t>
      </w:r>
      <w:proofErr w:type="spellEnd"/>
      <w:r>
        <w:t xml:space="preserve"> (PME &amp; ETI), des </w:t>
      </w:r>
      <w:proofErr w:type="spellStart"/>
      <w:r>
        <w:t>a</w:t>
      </w:r>
      <w:r>
        <w:t>cteurs</w:t>
      </w:r>
      <w:proofErr w:type="spellEnd"/>
      <w:r>
        <w:t xml:space="preserve"> publics et </w:t>
      </w:r>
      <w:proofErr w:type="spellStart"/>
      <w:r>
        <w:t>institutionnels</w:t>
      </w:r>
      <w:proofErr w:type="spellEnd"/>
      <w:r>
        <w:rPr>
          <w:spacing w:val="1"/>
        </w:rPr>
        <w:t xml:space="preserve"> </w:t>
      </w:r>
      <w:proofErr w:type="spellStart"/>
      <w:r>
        <w:t>locaux</w:t>
      </w:r>
      <w:proofErr w:type="spellEnd"/>
      <w:r>
        <w:t xml:space="preserve"> et des </w:t>
      </w:r>
      <w:proofErr w:type="spellStart"/>
      <w:r>
        <w:t>professionnels</w:t>
      </w:r>
      <w:proofErr w:type="spellEnd"/>
      <w:r>
        <w:t xml:space="preserve"> de </w:t>
      </w:r>
      <w:proofErr w:type="spellStart"/>
      <w:r>
        <w:t>l’immobilier</w:t>
      </w:r>
      <w:proofErr w:type="spellEnd"/>
      <w:r>
        <w:t xml:space="preserve">. La 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accompagne</w:t>
      </w:r>
      <w:proofErr w:type="spellEnd"/>
      <w:r>
        <w:t xml:space="preserve"> 15 000 </w:t>
      </w:r>
      <w:proofErr w:type="spellStart"/>
      <w:r>
        <w:t>acteurs</w:t>
      </w:r>
      <w:proofErr w:type="spellEnd"/>
      <w:r>
        <w:t xml:space="preserve"> </w:t>
      </w:r>
      <w:proofErr w:type="spellStart"/>
      <w:r>
        <w:t>économiques</w:t>
      </w:r>
      <w:proofErr w:type="spellEnd"/>
      <w:r>
        <w:t xml:space="preserve"> partout en</w:t>
      </w:r>
      <w:r>
        <w:rPr>
          <w:spacing w:val="1"/>
        </w:rPr>
        <w:t xml:space="preserve"> </w:t>
      </w:r>
      <w:r>
        <w:t xml:space="preserve">France à </w:t>
      </w:r>
      <w:proofErr w:type="gramStart"/>
      <w:r>
        <w:t>travers</w:t>
      </w:r>
      <w:proofErr w:type="gramEnd"/>
      <w:r>
        <w:t xml:space="preserve"> </w:t>
      </w:r>
      <w:proofErr w:type="spellStart"/>
      <w:r>
        <w:t>ses</w:t>
      </w:r>
      <w:proofErr w:type="spellEnd"/>
      <w:r>
        <w:t xml:space="preserve"> 21 implantations. Elle propose à </w:t>
      </w:r>
      <w:proofErr w:type="spellStart"/>
      <w:proofErr w:type="gramStart"/>
      <w:r>
        <w:t>ses</w:t>
      </w:r>
      <w:proofErr w:type="spellEnd"/>
      <w:proofErr w:type="gramEnd"/>
      <w:r>
        <w:t xml:space="preserve"> clients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offre</w:t>
      </w:r>
      <w:proofErr w:type="spellEnd"/>
      <w:r>
        <w:t xml:space="preserve"> </w:t>
      </w:r>
      <w:proofErr w:type="spellStart"/>
      <w:r>
        <w:t>complète</w:t>
      </w:r>
      <w:proofErr w:type="spellEnd"/>
      <w:r>
        <w:t xml:space="preserve"> (</w:t>
      </w:r>
      <w:proofErr w:type="spellStart"/>
      <w:r>
        <w:t>financements</w:t>
      </w:r>
      <w:proofErr w:type="spellEnd"/>
      <w:r>
        <w:t xml:space="preserve">, </w:t>
      </w:r>
      <w:proofErr w:type="spellStart"/>
      <w:r>
        <w:t>traitement</w:t>
      </w:r>
      <w:proofErr w:type="spellEnd"/>
      <w:r>
        <w:rPr>
          <w:spacing w:val="1"/>
        </w:rPr>
        <w:t xml:space="preserve"> </w:t>
      </w:r>
      <w:r>
        <w:t>des fl</w:t>
      </w:r>
      <w:r>
        <w:t xml:space="preserve">ux, </w:t>
      </w:r>
      <w:proofErr w:type="spellStart"/>
      <w:r>
        <w:t>moyens</w:t>
      </w:r>
      <w:proofErr w:type="spellEnd"/>
      <w:r>
        <w:t xml:space="preserve"> de </w:t>
      </w:r>
      <w:proofErr w:type="spellStart"/>
      <w:r>
        <w:t>paiement</w:t>
      </w:r>
      <w:proofErr w:type="spellEnd"/>
      <w:r>
        <w:t xml:space="preserve">, </w:t>
      </w:r>
      <w:proofErr w:type="spellStart"/>
      <w:r>
        <w:t>épargne</w:t>
      </w:r>
      <w:proofErr w:type="spellEnd"/>
      <w:r>
        <w:t xml:space="preserve">, assurances, </w:t>
      </w:r>
      <w:proofErr w:type="spellStart"/>
      <w:r>
        <w:t>opérations</w:t>
      </w:r>
      <w:proofErr w:type="spellEnd"/>
      <w:r>
        <w:t xml:space="preserve"> de </w:t>
      </w:r>
      <w:proofErr w:type="spellStart"/>
      <w:r>
        <w:t>salle</w:t>
      </w:r>
      <w:proofErr w:type="spellEnd"/>
      <w:r>
        <w:t xml:space="preserve"> des </w:t>
      </w:r>
      <w:proofErr w:type="spellStart"/>
      <w:r>
        <w:t>marchés</w:t>
      </w:r>
      <w:proofErr w:type="spellEnd"/>
      <w:r>
        <w:t xml:space="preserve">, </w:t>
      </w:r>
      <w:proofErr w:type="spellStart"/>
      <w:r>
        <w:t>opcvm</w:t>
      </w:r>
      <w:proofErr w:type="spellEnd"/>
      <w:r>
        <w:t>, etc.). Pour plus</w:t>
      </w:r>
      <w:r>
        <w:rPr>
          <w:spacing w:val="1"/>
        </w:rPr>
        <w:t xml:space="preserve"> </w:t>
      </w:r>
      <w:proofErr w:type="spellStart"/>
      <w:proofErr w:type="gramStart"/>
      <w:r>
        <w:t>d’informations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hyperlink r:id="rId5">
        <w:r>
          <w:t xml:space="preserve">Site internet </w:t>
        </w:r>
        <w:proofErr w:type="spellStart"/>
        <w:r>
          <w:t>d'Arkéa</w:t>
        </w:r>
        <w:proofErr w:type="spellEnd"/>
        <w:r>
          <w:t xml:space="preserve"> </w:t>
        </w:r>
        <w:proofErr w:type="spellStart"/>
        <w:r>
          <w:t>Banque</w:t>
        </w:r>
        <w:proofErr w:type="spellEnd"/>
        <w:r>
          <w:t xml:space="preserve"> E&amp;I</w:t>
        </w:r>
      </w:hyperlink>
    </w:p>
    <w:p w:rsidR="00476636" w:rsidRDefault="00476636">
      <w:pPr>
        <w:pStyle w:val="Corpsdetexte"/>
        <w:spacing w:before="8"/>
        <w:rPr>
          <w:sz w:val="27"/>
        </w:rPr>
      </w:pPr>
    </w:p>
    <w:p w:rsidR="00476636" w:rsidRDefault="00C7078A">
      <w:pPr>
        <w:pStyle w:val="Titre1"/>
        <w:spacing w:before="1"/>
      </w:pP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propos de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DeA</w:t>
      </w:r>
      <w:proofErr w:type="spellEnd"/>
    </w:p>
    <w:p w:rsidR="00476636" w:rsidRDefault="00C7078A">
      <w:pPr>
        <w:pStyle w:val="Corpsdetexte"/>
        <w:spacing w:before="36" w:line="280" w:lineRule="auto"/>
        <w:ind w:left="680" w:right="996"/>
        <w:jc w:val="both"/>
      </w:pPr>
      <w:proofErr w:type="spellStart"/>
      <w:r>
        <w:t>DeA</w:t>
      </w:r>
      <w:proofErr w:type="spellEnd"/>
      <w:r>
        <w:t xml:space="preserve"> Capital Real Estate, </w:t>
      </w:r>
      <w:proofErr w:type="spellStart"/>
      <w:r>
        <w:t>acteur</w:t>
      </w:r>
      <w:proofErr w:type="spellEnd"/>
      <w:r>
        <w:t xml:space="preserve"> </w:t>
      </w:r>
      <w:proofErr w:type="spellStart"/>
      <w:r>
        <w:t>majeur</w:t>
      </w:r>
      <w:proofErr w:type="spellEnd"/>
      <w:r>
        <w:t xml:space="preserve"> de la </w:t>
      </w:r>
      <w:proofErr w:type="spellStart"/>
      <w:r>
        <w:t>gestion</w:t>
      </w:r>
      <w:proofErr w:type="spellEnd"/>
      <w:r>
        <w:t xml:space="preserve"> </w:t>
      </w:r>
      <w:proofErr w:type="spellStart"/>
      <w:r>
        <w:t>d’investissements</w:t>
      </w:r>
      <w:proofErr w:type="spellEnd"/>
      <w:r>
        <w:t xml:space="preserve"> </w:t>
      </w:r>
      <w:proofErr w:type="spellStart"/>
      <w:r>
        <w:t>immobiliers</w:t>
      </w:r>
      <w:proofErr w:type="spellEnd"/>
      <w:r>
        <w:t xml:space="preserve"> en Europe </w:t>
      </w:r>
      <w:proofErr w:type="gramStart"/>
      <w:r>
        <w:t>et</w:t>
      </w:r>
      <w:proofErr w:type="gramEnd"/>
      <w:r>
        <w:t xml:space="preserve"> </w:t>
      </w:r>
      <w:proofErr w:type="spellStart"/>
      <w:r>
        <w:t>membre</w:t>
      </w:r>
      <w:proofErr w:type="spellEnd"/>
      <w:r>
        <w:t xml:space="preserve"> du</w:t>
      </w:r>
      <w:r>
        <w:rPr>
          <w:spacing w:val="1"/>
        </w:rPr>
        <w:t xml:space="preserve"> </w:t>
      </w:r>
      <w:proofErr w:type="spellStart"/>
      <w:r>
        <w:t>groupe</w:t>
      </w:r>
      <w:proofErr w:type="spellEnd"/>
      <w:r>
        <w:t xml:space="preserve"> De </w:t>
      </w:r>
      <w:proofErr w:type="spellStart"/>
      <w:r>
        <w:t>Agostini</w:t>
      </w:r>
      <w:proofErr w:type="spellEnd"/>
      <w:r>
        <w:t xml:space="preserve">, </w:t>
      </w:r>
      <w:proofErr w:type="spellStart"/>
      <w:r>
        <w:t>apporte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</w:t>
      </w:r>
      <w:proofErr w:type="spellStart"/>
      <w:r>
        <w:t>partenariat</w:t>
      </w:r>
      <w:proofErr w:type="spellEnd"/>
      <w:r>
        <w:t xml:space="preserve"> son expertise et </w:t>
      </w:r>
      <w:proofErr w:type="spellStart"/>
      <w:r>
        <w:t>sa</w:t>
      </w:r>
      <w:proofErr w:type="spellEnd"/>
      <w:r>
        <w:t xml:space="preserve"> </w:t>
      </w:r>
      <w:proofErr w:type="spellStart"/>
      <w:r>
        <w:t>connaissance</w:t>
      </w:r>
      <w:proofErr w:type="spellEnd"/>
      <w:r>
        <w:t xml:space="preserve"> du </w:t>
      </w:r>
      <w:proofErr w:type="spellStart"/>
      <w:r>
        <w:t>marché</w:t>
      </w:r>
      <w:proofErr w:type="spellEnd"/>
      <w:r>
        <w:t xml:space="preserve">, tout en </w:t>
      </w:r>
      <w:proofErr w:type="spellStart"/>
      <w:r>
        <w:t>mettant</w:t>
      </w:r>
      <w:proofErr w:type="spellEnd"/>
      <w:r>
        <w:t xml:space="preserve"> à</w:t>
      </w:r>
      <w:r>
        <w:rPr>
          <w:spacing w:val="1"/>
        </w:rPr>
        <w:t xml:space="preserve"> </w:t>
      </w:r>
      <w:r>
        <w:t>profit</w:t>
      </w:r>
      <w:r>
        <w:rPr>
          <w:spacing w:val="-1"/>
        </w:rPr>
        <w:t xml:space="preserve"> </w:t>
      </w:r>
      <w:r>
        <w:t xml:space="preserve">la </w:t>
      </w:r>
      <w:proofErr w:type="spellStart"/>
      <w:r>
        <w:t>taille</w:t>
      </w:r>
      <w:proofErr w:type="spellEnd"/>
      <w:r>
        <w:rPr>
          <w:spacing w:val="-1"/>
        </w:rPr>
        <w:t xml:space="preserve"> </w:t>
      </w:r>
      <w:r>
        <w:t xml:space="preserve">du </w:t>
      </w:r>
      <w:proofErr w:type="spellStart"/>
      <w:r>
        <w:t>groupe</w:t>
      </w:r>
      <w:proofErr w:type="spellEnd"/>
      <w:r>
        <w:t>.</w:t>
      </w:r>
      <w:r>
        <w:rPr>
          <w:spacing w:val="-1"/>
        </w:rPr>
        <w:t xml:space="preserve"> </w:t>
      </w:r>
      <w:r>
        <w:t>Fort</w:t>
      </w:r>
      <w:r>
        <w:rPr>
          <w:spacing w:val="2"/>
        </w:rPr>
        <w:t xml:space="preserve"> </w:t>
      </w:r>
      <w:r>
        <w:t xml:space="preserve">d’un </w:t>
      </w:r>
      <w:proofErr w:type="spellStart"/>
      <w:r>
        <w:t>résea</w:t>
      </w:r>
      <w:r>
        <w:t>u</w:t>
      </w:r>
      <w:proofErr w:type="spellEnd"/>
      <w:r>
        <w:t xml:space="preserve"> de 180</w:t>
      </w:r>
      <w:r>
        <w:rPr>
          <w:spacing w:val="-1"/>
        </w:rPr>
        <w:t xml:space="preserve"> </w:t>
      </w:r>
      <w:proofErr w:type="spellStart"/>
      <w:r>
        <w:t>collaborateurs</w:t>
      </w:r>
      <w:proofErr w:type="spellEnd"/>
      <w:r>
        <w:rPr>
          <w:spacing w:val="-2"/>
        </w:rPr>
        <w:t xml:space="preserve"> </w:t>
      </w:r>
      <w:proofErr w:type="spellStart"/>
      <w:r>
        <w:t>répartis</w:t>
      </w:r>
      <w:proofErr w:type="spellEnd"/>
      <w:r>
        <w:rPr>
          <w:spacing w:val="-2"/>
        </w:rPr>
        <w:t xml:space="preserve"> </w:t>
      </w:r>
      <w:proofErr w:type="spellStart"/>
      <w:r>
        <w:t>dans</w:t>
      </w:r>
      <w:proofErr w:type="spellEnd"/>
      <w:r>
        <w:rPr>
          <w:spacing w:val="1"/>
        </w:rPr>
        <w:t xml:space="preserve"> </w:t>
      </w:r>
      <w:proofErr w:type="spellStart"/>
      <w:r>
        <w:t>sept</w:t>
      </w:r>
      <w:proofErr w:type="spellEnd"/>
      <w:r>
        <w:t xml:space="preserve"> </w:t>
      </w:r>
      <w:proofErr w:type="spellStart"/>
      <w:r>
        <w:t>grandes</w:t>
      </w:r>
      <w:proofErr w:type="spellEnd"/>
      <w:r>
        <w:rPr>
          <w:spacing w:val="1"/>
        </w:rPr>
        <w:t xml:space="preserve"> </w:t>
      </w:r>
      <w:proofErr w:type="spellStart"/>
      <w:r>
        <w:t>villes</w:t>
      </w:r>
      <w:proofErr w:type="spellEnd"/>
      <w:r>
        <w:rPr>
          <w:spacing w:val="1"/>
        </w:rPr>
        <w:t xml:space="preserve"> </w:t>
      </w:r>
      <w:proofErr w:type="spellStart"/>
      <w:r>
        <w:t>européennes</w:t>
      </w:r>
      <w:proofErr w:type="spellEnd"/>
    </w:p>
    <w:p w:rsidR="00476636" w:rsidRDefault="00C7078A">
      <w:pPr>
        <w:pStyle w:val="Corpsdetexte"/>
        <w:spacing w:line="280" w:lineRule="auto"/>
        <w:ind w:left="680" w:right="999"/>
        <w:jc w:val="both"/>
      </w:pPr>
      <w:r>
        <w:t xml:space="preserve">– Milan, Rome, Paris, Madrid, </w:t>
      </w:r>
      <w:proofErr w:type="spellStart"/>
      <w:r>
        <w:t>Varsovie</w:t>
      </w:r>
      <w:proofErr w:type="spellEnd"/>
      <w:r>
        <w:t xml:space="preserve">, Munich </w:t>
      </w:r>
      <w:proofErr w:type="gramStart"/>
      <w:r>
        <w:t>et</w:t>
      </w:r>
      <w:proofErr w:type="gramEnd"/>
      <w:r>
        <w:t xml:space="preserve"> </w:t>
      </w:r>
      <w:proofErr w:type="spellStart"/>
      <w:r>
        <w:t>Londres</w:t>
      </w:r>
      <w:proofErr w:type="spellEnd"/>
      <w:r>
        <w:t xml:space="preserve"> – </w:t>
      </w:r>
      <w:proofErr w:type="spellStart"/>
      <w:r>
        <w:t>l’entreprise</w:t>
      </w:r>
      <w:proofErr w:type="spellEnd"/>
      <w:r>
        <w:t xml:space="preserve"> </w:t>
      </w:r>
      <w:proofErr w:type="spellStart"/>
      <w:r>
        <w:t>gère</w:t>
      </w:r>
      <w:proofErr w:type="spellEnd"/>
      <w:r>
        <w:t xml:space="preserve"> €12 milliards </w:t>
      </w:r>
      <w:proofErr w:type="spellStart"/>
      <w:r>
        <w:t>d’actifs</w:t>
      </w:r>
      <w:proofErr w:type="spellEnd"/>
      <w:r>
        <w:t xml:space="preserve"> à travers 50</w:t>
      </w:r>
      <w:r>
        <w:rPr>
          <w:spacing w:val="-43"/>
        </w:rPr>
        <w:t xml:space="preserve"> </w:t>
      </w:r>
      <w:proofErr w:type="spellStart"/>
      <w:r>
        <w:t>véhicules</w:t>
      </w:r>
      <w:proofErr w:type="spellEnd"/>
      <w:r>
        <w:t xml:space="preserve"> </w:t>
      </w:r>
      <w:proofErr w:type="spellStart"/>
      <w:r>
        <w:t>immobiliers</w:t>
      </w:r>
      <w:proofErr w:type="spellEnd"/>
      <w:r>
        <w:t xml:space="preserve">. Son </w:t>
      </w:r>
      <w:proofErr w:type="spellStart"/>
      <w:r>
        <w:t>portefeuille</w:t>
      </w:r>
      <w:proofErr w:type="spellEnd"/>
      <w:r>
        <w:t xml:space="preserve"> </w:t>
      </w:r>
      <w:proofErr w:type="spellStart"/>
      <w:r>
        <w:t>comprend</w:t>
      </w:r>
      <w:proofErr w:type="spellEnd"/>
      <w:r>
        <w:t xml:space="preserve"> environ 670 </w:t>
      </w:r>
      <w:proofErr w:type="spellStart"/>
      <w:r>
        <w:t>actifs</w:t>
      </w:r>
      <w:proofErr w:type="spellEnd"/>
      <w:r>
        <w:t xml:space="preserve"> de </w:t>
      </w:r>
      <w:proofErr w:type="spellStart"/>
      <w:r>
        <w:t>q</w:t>
      </w:r>
      <w:r>
        <w:t>ualité</w:t>
      </w:r>
      <w:proofErr w:type="spellEnd"/>
      <w:r>
        <w:t xml:space="preserve">, </w:t>
      </w:r>
      <w:proofErr w:type="spellStart"/>
      <w:r>
        <w:t>principalement</w:t>
      </w:r>
      <w:proofErr w:type="spellEnd"/>
      <w:r>
        <w:t xml:space="preserve"> </w:t>
      </w:r>
      <w:proofErr w:type="spellStart"/>
      <w:r>
        <w:t>situés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</w:t>
      </w:r>
      <w:r>
        <w:rPr>
          <w:spacing w:val="1"/>
        </w:rPr>
        <w:t xml:space="preserve"> </w:t>
      </w:r>
      <w:proofErr w:type="spellStart"/>
      <w:r>
        <w:t>villes</w:t>
      </w:r>
      <w:proofErr w:type="spellEnd"/>
      <w:r>
        <w:rPr>
          <w:spacing w:val="-2"/>
        </w:rPr>
        <w:t xml:space="preserve"> </w:t>
      </w:r>
      <w:proofErr w:type="spellStart"/>
      <w:r>
        <w:t>européennes</w:t>
      </w:r>
      <w:proofErr w:type="spellEnd"/>
      <w:r>
        <w:rPr>
          <w:spacing w:val="-2"/>
        </w:rPr>
        <w:t xml:space="preserve"> </w:t>
      </w:r>
      <w:proofErr w:type="spellStart"/>
      <w:r>
        <w:t>majeures</w:t>
      </w:r>
      <w:proofErr w:type="spellEnd"/>
      <w:r>
        <w:t>.</w:t>
      </w:r>
      <w:r>
        <w:rPr>
          <w:spacing w:val="2"/>
        </w:rPr>
        <w:t xml:space="preserve"> </w:t>
      </w:r>
      <w:r>
        <w:t>Plus</w:t>
      </w:r>
      <w:r>
        <w:rPr>
          <w:spacing w:val="-2"/>
        </w:rPr>
        <w:t xml:space="preserve"> </w:t>
      </w:r>
      <w:proofErr w:type="spellStart"/>
      <w:r>
        <w:t>d’informations</w:t>
      </w:r>
      <w:proofErr w:type="spellEnd"/>
      <w:r>
        <w:rPr>
          <w:spacing w:val="1"/>
        </w:rPr>
        <w:t xml:space="preserve"> </w:t>
      </w:r>
      <w:proofErr w:type="spellStart"/>
      <w:r>
        <w:t>sur</w:t>
      </w:r>
      <w:proofErr w:type="spellEnd"/>
      <w:r>
        <w:rPr>
          <w:color w:val="0000FF"/>
          <w:spacing w:val="44"/>
        </w:rPr>
        <w:t xml:space="preserve"> </w:t>
      </w:r>
      <w:hyperlink r:id="rId6">
        <w:r>
          <w:rPr>
            <w:color w:val="0000FF"/>
            <w:u w:val="single" w:color="0000FF"/>
          </w:rPr>
          <w:t xml:space="preserve">Site de </w:t>
        </w:r>
        <w:proofErr w:type="spellStart"/>
        <w:r>
          <w:rPr>
            <w:color w:val="0000FF"/>
            <w:u w:val="single" w:color="0000FF"/>
          </w:rPr>
          <w:t>Dea</w:t>
        </w:r>
        <w:proofErr w:type="spellEnd"/>
        <w:r>
          <w:rPr>
            <w:color w:val="0000FF"/>
            <w:u w:val="single" w:color="0000FF"/>
          </w:rPr>
          <w:t xml:space="preserve"> Capital</w:t>
        </w:r>
      </w:hyperlink>
      <w:bookmarkStart w:id="2" w:name="_GoBack"/>
      <w:bookmarkEnd w:id="2"/>
    </w:p>
    <w:p w:rsidR="00476636" w:rsidRDefault="00476636">
      <w:pPr>
        <w:pStyle w:val="Corpsdetexte"/>
        <w:spacing w:before="9"/>
        <w:rPr>
          <w:sz w:val="17"/>
        </w:rPr>
      </w:pPr>
    </w:p>
    <w:p w:rsidR="00476636" w:rsidRDefault="00C7078A">
      <w:pPr>
        <w:pStyle w:val="Titre1"/>
        <w:spacing w:before="59"/>
      </w:pP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INVESCO</w:t>
      </w:r>
    </w:p>
    <w:p w:rsidR="00476636" w:rsidRDefault="00C7078A">
      <w:pPr>
        <w:pStyle w:val="Corpsdetexte"/>
        <w:spacing w:before="37" w:line="276" w:lineRule="auto"/>
        <w:ind w:left="680" w:right="999"/>
        <w:jc w:val="both"/>
      </w:pPr>
      <w:r>
        <w:rPr>
          <w:b/>
        </w:rPr>
        <w:t xml:space="preserve">Invesco Ltd. </w:t>
      </w:r>
      <w:r>
        <w:t>(</w:t>
      </w:r>
      <w:proofErr w:type="gramStart"/>
      <w:r>
        <w:t>NYSE :</w:t>
      </w:r>
      <w:proofErr w:type="gramEnd"/>
      <w:r>
        <w:t xml:space="preserve"> IVZ) </w:t>
      </w:r>
      <w:proofErr w:type="spellStart"/>
      <w:r>
        <w:t>est</w:t>
      </w:r>
      <w:proofErr w:type="spellEnd"/>
      <w:r>
        <w:t xml:space="preserve"> un </w:t>
      </w:r>
      <w:proofErr w:type="spellStart"/>
      <w:r>
        <w:t>gestionnaire</w:t>
      </w:r>
      <w:proofErr w:type="spellEnd"/>
      <w:r>
        <w:t xml:space="preserve"> </w:t>
      </w:r>
      <w:proofErr w:type="spellStart"/>
      <w:r>
        <w:t>d’investissements</w:t>
      </w:r>
      <w:proofErr w:type="spellEnd"/>
      <w:r>
        <w:t xml:space="preserve"> </w:t>
      </w:r>
      <w:proofErr w:type="spellStart"/>
      <w:r>
        <w:t>mondial</w:t>
      </w:r>
      <w:proofErr w:type="spellEnd"/>
      <w:r>
        <w:t xml:space="preserve"> </w:t>
      </w:r>
      <w:proofErr w:type="spellStart"/>
      <w:r>
        <w:t>prés</w:t>
      </w:r>
      <w:r>
        <w:t>ent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plus de 20 pays, </w:t>
      </w:r>
      <w:proofErr w:type="spellStart"/>
      <w:r>
        <w:t>offrant</w:t>
      </w:r>
      <w:proofErr w:type="spellEnd"/>
      <w:r>
        <w:rPr>
          <w:spacing w:val="1"/>
        </w:rPr>
        <w:t xml:space="preserve"> </w:t>
      </w:r>
      <w:proofErr w:type="spellStart"/>
      <w:r>
        <w:t>une</w:t>
      </w:r>
      <w:proofErr w:type="spellEnd"/>
      <w:r>
        <w:t xml:space="preserve"> large </w:t>
      </w:r>
      <w:proofErr w:type="spellStart"/>
      <w:r>
        <w:t>gamme</w:t>
      </w:r>
      <w:proofErr w:type="spellEnd"/>
      <w:r>
        <w:t xml:space="preserve"> de solutions actives, passives et alternatives, avec 1,6 </w:t>
      </w:r>
      <w:proofErr w:type="spellStart"/>
      <w:r>
        <w:t>Md</w:t>
      </w:r>
      <w:proofErr w:type="spellEnd"/>
      <w:r>
        <w:t xml:space="preserve">€ </w:t>
      </w:r>
      <w:proofErr w:type="spellStart"/>
      <w:r>
        <w:t>d’actifs</w:t>
      </w:r>
      <w:proofErr w:type="spellEnd"/>
      <w:r>
        <w:t xml:space="preserve"> sous </w:t>
      </w:r>
      <w:proofErr w:type="spellStart"/>
      <w:r>
        <w:t>gestion</w:t>
      </w:r>
      <w:proofErr w:type="spellEnd"/>
      <w:r>
        <w:t xml:space="preserve"> au 31</w:t>
      </w:r>
      <w:r>
        <w:rPr>
          <w:spacing w:val="1"/>
        </w:rPr>
        <w:t xml:space="preserve"> </w:t>
      </w:r>
      <w:proofErr w:type="spellStart"/>
      <w:r>
        <w:t>décembre</w:t>
      </w:r>
      <w:proofErr w:type="spellEnd"/>
      <w:r>
        <w:rPr>
          <w:spacing w:val="-2"/>
        </w:rPr>
        <w:t xml:space="preserve"> </w:t>
      </w:r>
      <w:r>
        <w:t>2024.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plus</w:t>
      </w:r>
      <w:r>
        <w:rPr>
          <w:spacing w:val="-2"/>
        </w:rPr>
        <w:t xml:space="preserve"> </w:t>
      </w:r>
      <w:proofErr w:type="spellStart"/>
      <w:r>
        <w:t>d’informations</w:t>
      </w:r>
      <w:proofErr w:type="spellEnd"/>
      <w:r>
        <w:t xml:space="preserve">, </w:t>
      </w:r>
      <w:proofErr w:type="spellStart"/>
      <w:r>
        <w:t>rendez-vous</w:t>
      </w:r>
      <w:proofErr w:type="spellEnd"/>
      <w:r>
        <w:rPr>
          <w:spacing w:val="-2"/>
        </w:rPr>
        <w:t xml:space="preserve"> </w:t>
      </w:r>
      <w:proofErr w:type="spellStart"/>
      <w:r>
        <w:t>sur</w:t>
      </w:r>
      <w:proofErr w:type="spellEnd"/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www.invesco.com/corporate</w:t>
        </w:r>
        <w:r>
          <w:t>.</w:t>
        </w:r>
      </w:hyperlink>
    </w:p>
    <w:p w:rsidR="00476636" w:rsidRDefault="00C7078A">
      <w:pPr>
        <w:pStyle w:val="Corpsdetexte"/>
        <w:spacing w:line="276" w:lineRule="auto"/>
        <w:ind w:left="680" w:right="998"/>
        <w:jc w:val="both"/>
      </w:pPr>
      <w:r>
        <w:rPr>
          <w:b/>
        </w:rPr>
        <w:t>Invesco</w:t>
      </w:r>
      <w:r>
        <w:rPr>
          <w:b/>
          <w:spacing w:val="1"/>
        </w:rPr>
        <w:t xml:space="preserve"> </w:t>
      </w:r>
      <w:r>
        <w:rPr>
          <w:b/>
        </w:rPr>
        <w:t>Real Estate</w:t>
      </w:r>
      <w:r>
        <w:t>,</w:t>
      </w:r>
      <w:r>
        <w:rPr>
          <w:spacing w:val="1"/>
        </w:rPr>
        <w:t xml:space="preserve"> </w:t>
      </w:r>
      <w:r>
        <w:t>fort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40 </w:t>
      </w:r>
      <w:proofErr w:type="spellStart"/>
      <w:r>
        <w:t>ans</w:t>
      </w:r>
      <w:proofErr w:type="spellEnd"/>
      <w:r>
        <w:t xml:space="preserve"> </w:t>
      </w:r>
      <w:proofErr w:type="spellStart"/>
      <w:r>
        <w:t>d’expérience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est</w:t>
      </w:r>
      <w:proofErr w:type="spellEnd"/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 xml:space="preserve">leader </w:t>
      </w:r>
      <w:proofErr w:type="spellStart"/>
      <w:r>
        <w:t>mondial</w:t>
      </w:r>
      <w:proofErr w:type="spellEnd"/>
      <w:r>
        <w:t xml:space="preserve"> de la</w:t>
      </w:r>
      <w:r>
        <w:rPr>
          <w:spacing w:val="1"/>
        </w:rPr>
        <w:t xml:space="preserve"> </w:t>
      </w:r>
      <w:proofErr w:type="spellStart"/>
      <w:r>
        <w:t>gestion</w:t>
      </w:r>
      <w:proofErr w:type="spellEnd"/>
      <w:r>
        <w:rPr>
          <w:spacing w:val="1"/>
        </w:rPr>
        <w:t xml:space="preserve"> </w:t>
      </w:r>
      <w:proofErr w:type="spellStart"/>
      <w:r>
        <w:t>d’investissements</w:t>
      </w:r>
      <w:proofErr w:type="spellEnd"/>
      <w:r>
        <w:rPr>
          <w:spacing w:val="1"/>
        </w:rPr>
        <w:t xml:space="preserve"> </w:t>
      </w:r>
      <w:proofErr w:type="spellStart"/>
      <w:r>
        <w:t>immobiliers</w:t>
      </w:r>
      <w:proofErr w:type="spellEnd"/>
      <w:r>
        <w:t xml:space="preserve"> avec €76</w:t>
      </w:r>
      <w:proofErr w:type="gramStart"/>
      <w:r>
        <w:t>,2</w:t>
      </w:r>
      <w:proofErr w:type="gramEnd"/>
      <w:r>
        <w:t xml:space="preserve"> milliards </w:t>
      </w:r>
      <w:proofErr w:type="spellStart"/>
      <w:r>
        <w:t>d’actifs</w:t>
      </w:r>
      <w:proofErr w:type="spellEnd"/>
      <w:r>
        <w:t xml:space="preserve"> sous </w:t>
      </w:r>
      <w:proofErr w:type="spellStart"/>
      <w:r>
        <w:t>gestion</w:t>
      </w:r>
      <w:proofErr w:type="spellEnd"/>
      <w:r>
        <w:t xml:space="preserve">, 606 </w:t>
      </w:r>
      <w:proofErr w:type="spellStart"/>
      <w:r>
        <w:t>employés</w:t>
      </w:r>
      <w:proofErr w:type="spellEnd"/>
      <w:r>
        <w:t xml:space="preserve"> et 21 </w:t>
      </w:r>
      <w:proofErr w:type="spellStart"/>
      <w:r>
        <w:t>bureaux</w:t>
      </w:r>
      <w:proofErr w:type="spellEnd"/>
      <w:r>
        <w:t xml:space="preserve"> </w:t>
      </w:r>
      <w:proofErr w:type="spellStart"/>
      <w:r>
        <w:t>répartis</w:t>
      </w:r>
      <w:proofErr w:type="spellEnd"/>
      <w:r>
        <w:t xml:space="preserve"> aux </w:t>
      </w:r>
      <w:proofErr w:type="spellStart"/>
      <w:r>
        <w:t>États-Unis</w:t>
      </w:r>
      <w:proofErr w:type="spellEnd"/>
      <w:r>
        <w:t>, en</w:t>
      </w:r>
      <w:r>
        <w:rPr>
          <w:spacing w:val="1"/>
        </w:rPr>
        <w:t xml:space="preserve"> </w:t>
      </w:r>
      <w:r>
        <w:t>Europe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proofErr w:type="spellStart"/>
      <w:r>
        <w:t>A</w:t>
      </w:r>
      <w:r>
        <w:t>sie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dont</w:t>
      </w:r>
      <w:proofErr w:type="spellEnd"/>
      <w:r>
        <w:rPr>
          <w:spacing w:val="-7"/>
        </w:rPr>
        <w:t xml:space="preserve"> </w:t>
      </w:r>
      <w:proofErr w:type="spellStart"/>
      <w:r>
        <w:t>huit</w:t>
      </w:r>
      <w:proofErr w:type="spellEnd"/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Europe</w:t>
      </w:r>
      <w:r>
        <w:rPr>
          <w:spacing w:val="-9"/>
        </w:rPr>
        <w:t xml:space="preserve"> </w:t>
      </w:r>
      <w:proofErr w:type="spellStart"/>
      <w:r>
        <w:t>où</w:t>
      </w:r>
      <w:proofErr w:type="spellEnd"/>
      <w:r>
        <w:rPr>
          <w:spacing w:val="-7"/>
        </w:rPr>
        <w:t xml:space="preserve"> </w:t>
      </w:r>
      <w:proofErr w:type="spellStart"/>
      <w:r>
        <w:t>il</w:t>
      </w:r>
      <w:proofErr w:type="spellEnd"/>
      <w:r>
        <w:rPr>
          <w:spacing w:val="-8"/>
        </w:rPr>
        <w:t xml:space="preserve"> </w:t>
      </w:r>
      <w:proofErr w:type="spellStart"/>
      <w:r>
        <w:t>gère</w:t>
      </w:r>
      <w:proofErr w:type="spellEnd"/>
      <w:r>
        <w:rPr>
          <w:spacing w:val="-7"/>
        </w:rPr>
        <w:t xml:space="preserve"> </w:t>
      </w:r>
      <w:r>
        <w:t>€15,7</w:t>
      </w:r>
      <w:r>
        <w:rPr>
          <w:spacing w:val="-6"/>
        </w:rPr>
        <w:t xml:space="preserve"> </w:t>
      </w:r>
      <w:r>
        <w:t>milliards</w:t>
      </w:r>
      <w:r>
        <w:rPr>
          <w:spacing w:val="-9"/>
        </w:rPr>
        <w:t xml:space="preserve"> </w:t>
      </w:r>
      <w:proofErr w:type="spellStart"/>
      <w:r>
        <w:t>d’actifs</w:t>
      </w:r>
      <w:proofErr w:type="spellEnd"/>
      <w:r>
        <w:rPr>
          <w:spacing w:val="-9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environ</w:t>
      </w:r>
      <w:r>
        <w:rPr>
          <w:spacing w:val="-7"/>
        </w:rPr>
        <w:t xml:space="preserve"> </w:t>
      </w:r>
      <w:r>
        <w:t>450</w:t>
      </w:r>
      <w:r>
        <w:rPr>
          <w:spacing w:val="-7"/>
        </w:rPr>
        <w:t xml:space="preserve"> </w:t>
      </w:r>
      <w:r>
        <w:t>clients</w:t>
      </w:r>
      <w:r>
        <w:rPr>
          <w:spacing w:val="-7"/>
        </w:rPr>
        <w:t xml:space="preserve"> </w:t>
      </w:r>
      <w:proofErr w:type="spellStart"/>
      <w:r>
        <w:t>institutionnels</w:t>
      </w:r>
      <w:proofErr w:type="spellEnd"/>
      <w:r>
        <w:t>.</w:t>
      </w:r>
    </w:p>
    <w:p w:rsidR="00476636" w:rsidRDefault="00476636">
      <w:pPr>
        <w:pStyle w:val="Corpsdetexte"/>
        <w:rPr>
          <w:sz w:val="23"/>
        </w:rPr>
      </w:pPr>
    </w:p>
    <w:p w:rsidR="00476636" w:rsidRDefault="00C7078A">
      <w:pPr>
        <w:pStyle w:val="Titre1"/>
      </w:pP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SOCFIM</w:t>
      </w:r>
    </w:p>
    <w:p w:rsidR="00476636" w:rsidRDefault="00C7078A">
      <w:pPr>
        <w:pStyle w:val="Corpsdetexte"/>
        <w:spacing w:before="37" w:line="276" w:lineRule="auto"/>
        <w:ind w:left="680" w:right="994"/>
        <w:jc w:val="both"/>
      </w:pPr>
      <w:r>
        <w:t xml:space="preserve">SOCFIM </w:t>
      </w:r>
      <w:proofErr w:type="spellStart"/>
      <w:proofErr w:type="gramStart"/>
      <w:r>
        <w:t>est</w:t>
      </w:r>
      <w:proofErr w:type="spellEnd"/>
      <w:proofErr w:type="gramEnd"/>
      <w:r>
        <w:t xml:space="preserve"> la </w:t>
      </w:r>
      <w:proofErr w:type="spellStart"/>
      <w:r>
        <w:t>banque</w:t>
      </w:r>
      <w:proofErr w:type="spellEnd"/>
      <w:r>
        <w:t xml:space="preserve"> </w:t>
      </w:r>
      <w:proofErr w:type="spellStart"/>
      <w:r>
        <w:t>immobilière</w:t>
      </w:r>
      <w:proofErr w:type="spellEnd"/>
      <w:r>
        <w:t xml:space="preserve"> du </w:t>
      </w:r>
      <w:proofErr w:type="spellStart"/>
      <w:r>
        <w:t>Groupe</w:t>
      </w:r>
      <w:proofErr w:type="spellEnd"/>
      <w:r>
        <w:t xml:space="preserve"> BPCE. Forte de 160 </w:t>
      </w:r>
      <w:proofErr w:type="spellStart"/>
      <w:r>
        <w:t>collaborateurs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s’appuyant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 </w:t>
      </w:r>
      <w:proofErr w:type="spellStart"/>
      <w:r>
        <w:t>réseau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SOCFIM </w:t>
      </w:r>
      <w:proofErr w:type="spellStart"/>
      <w:r>
        <w:t>accompagne</w:t>
      </w:r>
      <w:proofErr w:type="spellEnd"/>
      <w:r>
        <w:t xml:space="preserve"> partout en France </w:t>
      </w:r>
      <w:proofErr w:type="spellStart"/>
      <w:r>
        <w:t>l’ensemble</w:t>
      </w:r>
      <w:proofErr w:type="spellEnd"/>
      <w:r>
        <w:t xml:space="preserve"> des </w:t>
      </w:r>
      <w:proofErr w:type="spellStart"/>
      <w:r>
        <w:t>projets</w:t>
      </w:r>
      <w:proofErr w:type="spellEnd"/>
      <w:r>
        <w:t xml:space="preserve"> </w:t>
      </w:r>
      <w:proofErr w:type="spellStart"/>
      <w:r>
        <w:t>immobiliers</w:t>
      </w:r>
      <w:proofErr w:type="spellEnd"/>
      <w:r>
        <w:t xml:space="preserve">, simples </w:t>
      </w:r>
      <w:proofErr w:type="spellStart"/>
      <w:r>
        <w:t>comme</w:t>
      </w:r>
      <w:proofErr w:type="spellEnd"/>
      <w:r>
        <w:t xml:space="preserve"> complexes, </w:t>
      </w:r>
      <w:proofErr w:type="spellStart"/>
      <w:r>
        <w:t>sur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toutes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11"/>
        </w:rPr>
        <w:t xml:space="preserve"> </w:t>
      </w:r>
      <w:r>
        <w:rPr>
          <w:spacing w:val="-1"/>
        </w:rPr>
        <w:t>classes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d’actifs</w:t>
      </w:r>
      <w:proofErr w:type="spellEnd"/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Avec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près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12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Md</w:t>
      </w:r>
      <w:proofErr w:type="spellEnd"/>
      <w:r>
        <w:rPr>
          <w:spacing w:val="-1"/>
        </w:rPr>
        <w:t>€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d’encours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sous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gestion</w:t>
      </w:r>
      <w:proofErr w:type="spellEnd"/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proofErr w:type="spellStart"/>
      <w:r>
        <w:t>une</w:t>
      </w:r>
      <w:proofErr w:type="spellEnd"/>
      <w:r>
        <w:rPr>
          <w:spacing w:val="-9"/>
        </w:rPr>
        <w:t xml:space="preserve"> </w:t>
      </w:r>
      <w:proofErr w:type="spellStart"/>
      <w:r>
        <w:t>couverture</w:t>
      </w:r>
      <w:proofErr w:type="spellEnd"/>
      <w:r>
        <w:rPr>
          <w:spacing w:val="-10"/>
        </w:rPr>
        <w:t xml:space="preserve"> </w:t>
      </w:r>
      <w:proofErr w:type="spellStart"/>
      <w:r>
        <w:t>complète</w:t>
      </w:r>
      <w:proofErr w:type="spellEnd"/>
      <w:r>
        <w:rPr>
          <w:spacing w:val="-10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segments</w:t>
      </w:r>
      <w:r>
        <w:rPr>
          <w:spacing w:val="1"/>
        </w:rPr>
        <w:t xml:space="preserve"> </w:t>
      </w:r>
      <w:proofErr w:type="spellStart"/>
      <w:r>
        <w:t>immobiliers</w:t>
      </w:r>
      <w:proofErr w:type="spellEnd"/>
      <w:r>
        <w:t xml:space="preserve"> (</w:t>
      </w:r>
      <w:proofErr w:type="spellStart"/>
      <w:r>
        <w:t>logement</w:t>
      </w:r>
      <w:proofErr w:type="spellEnd"/>
      <w:r>
        <w:t xml:space="preserve">, </w:t>
      </w:r>
      <w:proofErr w:type="spellStart"/>
      <w:r>
        <w:t>tertiaire</w:t>
      </w:r>
      <w:proofErr w:type="spellEnd"/>
      <w:r>
        <w:t xml:space="preserve">, </w:t>
      </w:r>
      <w:proofErr w:type="spellStart"/>
      <w:r>
        <w:t>neuf</w:t>
      </w:r>
      <w:proofErr w:type="spellEnd"/>
      <w:r>
        <w:t xml:space="preserve">, </w:t>
      </w:r>
      <w:proofErr w:type="spellStart"/>
      <w:r>
        <w:t>anc</w:t>
      </w:r>
      <w:r>
        <w:t>ien</w:t>
      </w:r>
      <w:proofErr w:type="spellEnd"/>
      <w:r>
        <w:t xml:space="preserve">, corporate, </w:t>
      </w:r>
      <w:proofErr w:type="spellStart"/>
      <w:r>
        <w:t>investissement</w:t>
      </w:r>
      <w:proofErr w:type="spellEnd"/>
      <w:r>
        <w:t xml:space="preserve"> en equity), SOCFIM </w:t>
      </w:r>
      <w:proofErr w:type="spellStart"/>
      <w:r>
        <w:t>s’appuie</w:t>
      </w:r>
      <w:proofErr w:type="spellEnd"/>
      <w:r>
        <w:t xml:space="preserve"> </w:t>
      </w:r>
      <w:proofErr w:type="spellStart"/>
      <w:r>
        <w:t>depuis</w:t>
      </w:r>
      <w:proofErr w:type="spellEnd"/>
      <w:r>
        <w:rPr>
          <w:spacing w:val="1"/>
        </w:rPr>
        <w:t xml:space="preserve"> </w:t>
      </w:r>
      <w:r>
        <w:t xml:space="preserve">plus de 30 </w:t>
      </w:r>
      <w:proofErr w:type="spellStart"/>
      <w:r>
        <w:t>ans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des </w:t>
      </w:r>
      <w:proofErr w:type="spellStart"/>
      <w:r>
        <w:t>équipes</w:t>
      </w:r>
      <w:proofErr w:type="spellEnd"/>
      <w:r>
        <w:t xml:space="preserve"> de </w:t>
      </w:r>
      <w:proofErr w:type="spellStart"/>
      <w:r>
        <w:t>spécialistes</w:t>
      </w:r>
      <w:proofErr w:type="spellEnd"/>
      <w:r>
        <w:t xml:space="preserve"> – </w:t>
      </w:r>
      <w:proofErr w:type="spellStart"/>
      <w:r>
        <w:t>banquiers</w:t>
      </w:r>
      <w:proofErr w:type="spellEnd"/>
      <w:r>
        <w:t xml:space="preserve"> et experts </w:t>
      </w:r>
      <w:proofErr w:type="spellStart"/>
      <w:r>
        <w:t>immobiliers</w:t>
      </w:r>
      <w:proofErr w:type="spellEnd"/>
      <w:r>
        <w:t xml:space="preserve"> – pour proposer des solutions</w:t>
      </w:r>
      <w:r>
        <w:rPr>
          <w:spacing w:val="-4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financement</w:t>
      </w:r>
      <w:proofErr w:type="spellEnd"/>
      <w:r>
        <w:rPr>
          <w:spacing w:val="-1"/>
        </w:rPr>
        <w:t xml:space="preserve"> </w:t>
      </w:r>
      <w:proofErr w:type="spellStart"/>
      <w:r>
        <w:t>adaptées</w:t>
      </w:r>
      <w:proofErr w:type="spellEnd"/>
      <w:r>
        <w:rPr>
          <w:spacing w:val="-2"/>
        </w:rPr>
        <w:t xml:space="preserve"> </w:t>
      </w:r>
      <w:r>
        <w:t>aux</w:t>
      </w:r>
      <w:r>
        <w:rPr>
          <w:spacing w:val="1"/>
        </w:rPr>
        <w:t xml:space="preserve"> </w:t>
      </w:r>
      <w:proofErr w:type="spellStart"/>
      <w:r>
        <w:t>évolutions</w:t>
      </w:r>
      <w:proofErr w:type="spellEnd"/>
      <w:r>
        <w:t xml:space="preserve"> </w:t>
      </w:r>
      <w:proofErr w:type="spellStart"/>
      <w:r>
        <w:t>économiques</w:t>
      </w:r>
      <w:proofErr w:type="spellEnd"/>
      <w:r>
        <w:t xml:space="preserve">, </w:t>
      </w:r>
      <w:proofErr w:type="spellStart"/>
      <w:r>
        <w:t>réglementaires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proofErr w:type="spellStart"/>
      <w:r>
        <w:t>sociétal</w:t>
      </w:r>
      <w:r>
        <w:t>es</w:t>
      </w:r>
      <w:proofErr w:type="spellEnd"/>
      <w:r>
        <w:t>.</w:t>
      </w:r>
    </w:p>
    <w:p w:rsidR="00476636" w:rsidRDefault="00476636">
      <w:pPr>
        <w:pStyle w:val="Corpsdetexte"/>
        <w:spacing w:before="8"/>
        <w:rPr>
          <w:sz w:val="19"/>
        </w:rPr>
      </w:pPr>
    </w:p>
    <w:p w:rsidR="00476636" w:rsidRDefault="00C7078A">
      <w:pPr>
        <w:pStyle w:val="Titre1"/>
        <w:jc w:val="left"/>
      </w:pPr>
      <w:proofErr w:type="spellStart"/>
      <w:r>
        <w:rPr>
          <w:u w:val="single"/>
        </w:rPr>
        <w:t>Liste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des</w:t>
      </w:r>
      <w:r>
        <w:rPr>
          <w:spacing w:val="-2"/>
          <w:u w:val="single"/>
        </w:rPr>
        <w:t xml:space="preserve"> </w:t>
      </w:r>
      <w:proofErr w:type="spellStart"/>
      <w:proofErr w:type="gramStart"/>
      <w:r>
        <w:rPr>
          <w:u w:val="single"/>
        </w:rPr>
        <w:t>conseils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  <w:proofErr w:type="gramEnd"/>
    </w:p>
    <w:p w:rsidR="00476636" w:rsidRDefault="00C7078A">
      <w:pPr>
        <w:pStyle w:val="Corpsdetexte"/>
        <w:spacing w:before="37"/>
        <w:ind w:left="680"/>
      </w:pPr>
      <w:proofErr w:type="spellStart"/>
      <w:proofErr w:type="gramStart"/>
      <w:r>
        <w:t>Banques</w:t>
      </w:r>
      <w:proofErr w:type="spellEnd"/>
      <w:r>
        <w:rPr>
          <w:spacing w:val="-3"/>
        </w:rPr>
        <w:t xml:space="preserve"> </w:t>
      </w:r>
      <w:r>
        <w:t>:</w:t>
      </w:r>
      <w:proofErr w:type="gramEnd"/>
    </w:p>
    <w:p w:rsidR="00476636" w:rsidRDefault="00C7078A">
      <w:pPr>
        <w:pStyle w:val="Corpsdetexte"/>
        <w:spacing w:before="37"/>
        <w:ind w:left="680"/>
      </w:pPr>
      <w:proofErr w:type="spellStart"/>
      <w:proofErr w:type="gramStart"/>
      <w:r>
        <w:t>Notaire</w:t>
      </w:r>
      <w:proofErr w:type="spellEnd"/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Etude</w:t>
      </w:r>
      <w:r>
        <w:rPr>
          <w:spacing w:val="-3"/>
        </w:rPr>
        <w:t xml:space="preserve"> </w:t>
      </w:r>
      <w:proofErr w:type="spellStart"/>
      <w:r>
        <w:t>Lasaygues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Anne-Laure</w:t>
      </w:r>
      <w:r>
        <w:rPr>
          <w:spacing w:val="-4"/>
        </w:rPr>
        <w:t xml:space="preserve"> </w:t>
      </w:r>
      <w:proofErr w:type="spellStart"/>
      <w:r>
        <w:t>Lavoine</w:t>
      </w:r>
      <w:proofErr w:type="spellEnd"/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Céline</w:t>
      </w:r>
      <w:r>
        <w:rPr>
          <w:spacing w:val="-3"/>
        </w:rPr>
        <w:t xml:space="preserve"> </w:t>
      </w:r>
      <w:r>
        <w:t>Payer</w:t>
      </w:r>
    </w:p>
    <w:p w:rsidR="00476636" w:rsidRDefault="00476636">
      <w:pPr>
        <w:sectPr w:rsidR="00476636">
          <w:pgSz w:w="11910" w:h="16840"/>
          <w:pgMar w:top="1380" w:right="440" w:bottom="280" w:left="760" w:header="720" w:footer="720" w:gutter="0"/>
          <w:cols w:space="720"/>
        </w:sectPr>
      </w:pPr>
    </w:p>
    <w:p w:rsidR="00476636" w:rsidRDefault="00C7078A">
      <w:pPr>
        <w:pStyle w:val="Corpsdetexte"/>
        <w:spacing w:before="48"/>
        <w:ind w:left="680"/>
      </w:pPr>
      <w:proofErr w:type="spellStart"/>
      <w:proofErr w:type="gramStart"/>
      <w:r>
        <w:lastRenderedPageBreak/>
        <w:t>Avocat</w:t>
      </w:r>
      <w:proofErr w:type="spellEnd"/>
      <w:r>
        <w:rPr>
          <w:spacing w:val="-3"/>
        </w:rPr>
        <w:t xml:space="preserve"> </w:t>
      </w:r>
      <w:r>
        <w:t>:</w:t>
      </w:r>
      <w:proofErr w:type="gramEnd"/>
      <w:r>
        <w:rPr>
          <w:spacing w:val="41"/>
        </w:rPr>
        <w:t xml:space="preserve"> </w:t>
      </w:r>
      <w:r>
        <w:t>BCLP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David</w:t>
      </w:r>
      <w:r>
        <w:rPr>
          <w:spacing w:val="-1"/>
        </w:rPr>
        <w:t xml:space="preserve"> </w:t>
      </w:r>
      <w:proofErr w:type="spellStart"/>
      <w:r>
        <w:t>Blondel</w:t>
      </w:r>
      <w:proofErr w:type="spellEnd"/>
    </w:p>
    <w:p w:rsidR="00476636" w:rsidRDefault="00476636">
      <w:pPr>
        <w:pStyle w:val="Corpsdetexte"/>
        <w:rPr>
          <w:sz w:val="26"/>
        </w:rPr>
      </w:pPr>
    </w:p>
    <w:p w:rsidR="00476636" w:rsidRDefault="00C7078A">
      <w:pPr>
        <w:pStyle w:val="Corpsdetexte"/>
        <w:ind w:left="680"/>
      </w:pPr>
      <w:proofErr w:type="spellStart"/>
      <w:r>
        <w:rPr>
          <w:u w:val="single"/>
        </w:rPr>
        <w:t>DeA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et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Invesco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  <w:proofErr w:type="gramEnd"/>
    </w:p>
    <w:p w:rsidR="00476636" w:rsidRDefault="00C7078A">
      <w:pPr>
        <w:pStyle w:val="Corpsdetexte"/>
        <w:spacing w:before="36"/>
        <w:ind w:left="680"/>
      </w:pPr>
      <w:proofErr w:type="spellStart"/>
      <w:proofErr w:type="gramStart"/>
      <w:r>
        <w:t>Notaire</w:t>
      </w:r>
      <w:proofErr w:type="spellEnd"/>
      <w:r>
        <w:rPr>
          <w:spacing w:val="-4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proofErr w:type="spellStart"/>
      <w:r>
        <w:t>Acte</w:t>
      </w:r>
      <w:proofErr w:type="spellEnd"/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David</w:t>
      </w:r>
      <w:r>
        <w:rPr>
          <w:spacing w:val="-1"/>
        </w:rPr>
        <w:t xml:space="preserve"> </w:t>
      </w:r>
      <w:proofErr w:type="spellStart"/>
      <w:r>
        <w:t>Vittori</w:t>
      </w:r>
      <w:proofErr w:type="spellEnd"/>
    </w:p>
    <w:p w:rsidR="00476636" w:rsidRDefault="00C7078A">
      <w:pPr>
        <w:pStyle w:val="Corpsdetexte"/>
        <w:spacing w:before="37"/>
        <w:ind w:left="680"/>
      </w:pPr>
      <w:proofErr w:type="spellStart"/>
      <w:proofErr w:type="gramStart"/>
      <w:r>
        <w:t>Avocat</w:t>
      </w:r>
      <w:proofErr w:type="spellEnd"/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Archers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Jean-Maurice</w:t>
      </w:r>
      <w:r>
        <w:rPr>
          <w:spacing w:val="-4"/>
        </w:rPr>
        <w:t xml:space="preserve"> </w:t>
      </w:r>
      <w:r>
        <w:t>Gaillard</w:t>
      </w:r>
    </w:p>
    <w:sectPr w:rsidR="00476636">
      <w:pgSz w:w="11910" w:h="16840"/>
      <w:pgMar w:top="1380" w:right="4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6636"/>
    <w:rsid w:val="00476636"/>
    <w:rsid w:val="00C7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680"/>
      <w:jc w:val="both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826" w:right="1146"/>
      <w:jc w:val="center"/>
    </w:pPr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707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07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680"/>
      <w:jc w:val="both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826" w:right="1146"/>
      <w:jc w:val="center"/>
    </w:pPr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707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07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vesco.com/corporat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eacapitalre.eu/" TargetMode="External"/><Relationship Id="rId5" Type="http://schemas.openxmlformats.org/officeDocument/2006/relationships/hyperlink" Target="http://www.arkea-banque-ei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 SEVERINE</dc:creator>
  <cp:lastModifiedBy>MARTIN BENJAMIN</cp:lastModifiedBy>
  <cp:revision>2</cp:revision>
  <dcterms:created xsi:type="dcterms:W3CDTF">2026-03-24T14:07:00Z</dcterms:created>
  <dcterms:modified xsi:type="dcterms:W3CDTF">2026-03-24T14:08:00Z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2026-03-24T00:00:00Z</vt:filetime>
  </property>
</Properties>
</file>