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DA" w:rsidRDefault="00EE6450" w:rsidP="007A06B3">
      <w:pPr>
        <w:tabs>
          <w:tab w:val="left" w:pos="4909"/>
        </w:tabs>
        <w:ind w:left="232"/>
        <w:rPr>
          <w:sz w:val="24"/>
        </w:rPr>
      </w:pPr>
      <w:r>
        <w:rPr>
          <w:sz w:val="24"/>
        </w:rPr>
        <w:t>Paris,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</w:p>
    <w:p w:rsidR="00EC3FDA" w:rsidRDefault="00EC3FDA">
      <w:pPr>
        <w:pStyle w:val="Corpsdetexte"/>
        <w:rPr>
          <w:sz w:val="24"/>
        </w:rPr>
      </w:pPr>
    </w:p>
    <w:p w:rsidR="00EC3FDA" w:rsidRDefault="00EC3FDA">
      <w:pPr>
        <w:pStyle w:val="Corpsdetexte"/>
        <w:spacing w:before="8"/>
        <w:rPr>
          <w:sz w:val="20"/>
        </w:rPr>
      </w:pPr>
    </w:p>
    <w:p w:rsidR="00EC3FDA" w:rsidRDefault="00EE6450">
      <w:pPr>
        <w:spacing w:line="276" w:lineRule="auto"/>
        <w:ind w:left="338" w:right="45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 Groupe Volta boucle un financement de 65 millions d’euros auprès d’un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consortium bancaire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emmené</w:t>
      </w:r>
    </w:p>
    <w:p w:rsidR="00EC3FDA" w:rsidRDefault="00EE6450">
      <w:pPr>
        <w:spacing w:line="275" w:lineRule="exact"/>
        <w:ind w:left="333" w:right="455"/>
        <w:jc w:val="center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par</w:t>
      </w:r>
      <w:proofErr w:type="gramEnd"/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Arkéa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Banque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Entreprises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Institutionnels</w:t>
      </w:r>
    </w:p>
    <w:p w:rsidR="00EC3FDA" w:rsidRDefault="00EE6450">
      <w:pPr>
        <w:spacing w:before="43" w:line="276" w:lineRule="auto"/>
        <w:ind w:left="337" w:right="455"/>
        <w:jc w:val="center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pour</w:t>
      </w:r>
      <w:proofErr w:type="gramEnd"/>
      <w:r>
        <w:rPr>
          <w:rFonts w:ascii="Arial" w:hAnsi="Arial"/>
          <w:b/>
          <w:sz w:val="24"/>
        </w:rPr>
        <w:t xml:space="preserve"> la construction et la rénovation de 175 centrales photovoltaïques en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toiture</w:t>
      </w:r>
    </w:p>
    <w:p w:rsidR="00EC3FDA" w:rsidRDefault="00EC3FDA">
      <w:pPr>
        <w:pStyle w:val="Corpsdetexte"/>
        <w:rPr>
          <w:rFonts w:ascii="Arial"/>
          <w:b/>
          <w:sz w:val="26"/>
        </w:rPr>
      </w:pPr>
    </w:p>
    <w:p w:rsidR="00EC3FDA" w:rsidRDefault="00EC3FDA">
      <w:pPr>
        <w:pStyle w:val="Corpsdetexte"/>
        <w:spacing w:before="5"/>
        <w:rPr>
          <w:rFonts w:ascii="Arial"/>
          <w:b/>
          <w:sz w:val="27"/>
        </w:rPr>
      </w:pPr>
    </w:p>
    <w:p w:rsidR="00EC3FDA" w:rsidRDefault="00EE6450">
      <w:pPr>
        <w:spacing w:line="276" w:lineRule="auto"/>
        <w:ind w:left="100" w:right="213"/>
        <w:jc w:val="both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Groupe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Volta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franchit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nouvelle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étape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développement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photovoltaïque avec la mise en place d’un financement de 65 millions d’euros, octroyé par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consortium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sept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banques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dirigé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Arkéa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Banque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Entreprises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Institutionnels,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pour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un portefeuille de 175 centrales en toiture. Avec ce nouveau financement, Volta accélère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 stratégie de déploiement territorial et conforte son ambition de s'imposer comme l'un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acteurs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majeurs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secteur 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toitures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photovoltaïques 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France.</w:t>
      </w:r>
    </w:p>
    <w:p w:rsidR="00EC3FDA" w:rsidRDefault="00EC3FDA">
      <w:pPr>
        <w:pStyle w:val="Corpsdetexte"/>
        <w:rPr>
          <w:b/>
          <w:sz w:val="23"/>
        </w:rPr>
      </w:pPr>
    </w:p>
    <w:p w:rsidR="00EC3FDA" w:rsidRDefault="00EE6450">
      <w:pPr>
        <w:pStyle w:val="Corpsdetexte"/>
        <w:ind w:left="100" w:right="211"/>
        <w:jc w:val="both"/>
      </w:pPr>
      <w:r>
        <w:t>Le</w:t>
      </w:r>
      <w:r>
        <w:rPr>
          <w:spacing w:val="-11"/>
        </w:rPr>
        <w:t xml:space="preserve"> </w:t>
      </w:r>
      <w:r>
        <w:t>Groupe</w:t>
      </w:r>
      <w:r>
        <w:rPr>
          <w:spacing w:val="-11"/>
        </w:rPr>
        <w:t xml:space="preserve"> </w:t>
      </w:r>
      <w:r>
        <w:t>français</w:t>
      </w:r>
      <w:r>
        <w:rPr>
          <w:spacing w:val="-12"/>
        </w:rPr>
        <w:t xml:space="preserve"> </w:t>
      </w:r>
      <w:r>
        <w:t>Volta,</w:t>
      </w:r>
      <w:r>
        <w:rPr>
          <w:spacing w:val="-11"/>
        </w:rPr>
        <w:t xml:space="preserve"> </w:t>
      </w:r>
      <w:r>
        <w:t>producteur</w:t>
      </w:r>
      <w:r>
        <w:rPr>
          <w:spacing w:val="-10"/>
        </w:rPr>
        <w:t xml:space="preserve"> </w:t>
      </w:r>
      <w:r>
        <w:t>indépendant</w:t>
      </w:r>
      <w:r>
        <w:rPr>
          <w:spacing w:val="-11"/>
        </w:rPr>
        <w:t xml:space="preserve"> </w:t>
      </w:r>
      <w:r>
        <w:t>d’énergies</w:t>
      </w:r>
      <w:r>
        <w:rPr>
          <w:spacing w:val="-11"/>
        </w:rPr>
        <w:t xml:space="preserve"> </w:t>
      </w:r>
      <w:r>
        <w:t>renouvelables,</w:t>
      </w:r>
      <w:r>
        <w:rPr>
          <w:spacing w:val="-11"/>
        </w:rPr>
        <w:t xml:space="preserve"> </w:t>
      </w:r>
      <w:r>
        <w:t>annonce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mise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place</w:t>
      </w:r>
      <w:r>
        <w:rPr>
          <w:spacing w:val="-47"/>
        </w:rPr>
        <w:t xml:space="preserve"> </w:t>
      </w:r>
      <w:r>
        <w:t>d’un financement structurant de 65 millions d’euros avec le soutien d’</w:t>
      </w:r>
      <w:proofErr w:type="spellStart"/>
      <w:r>
        <w:t>Arkéa</w:t>
      </w:r>
      <w:proofErr w:type="spellEnd"/>
      <w:r>
        <w:t xml:space="preserve"> Banque Entreprises et</w:t>
      </w:r>
      <w:r>
        <w:rPr>
          <w:spacing w:val="1"/>
        </w:rPr>
        <w:t xml:space="preserve"> </w:t>
      </w:r>
      <w:r>
        <w:t>Institutionnels.</w:t>
      </w:r>
      <w:r>
        <w:rPr>
          <w:spacing w:val="-7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financemen</w:t>
      </w:r>
      <w:r>
        <w:t>t</w:t>
      </w:r>
      <w:r>
        <w:rPr>
          <w:spacing w:val="-6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portefeuille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175</w:t>
      </w:r>
      <w:r>
        <w:rPr>
          <w:spacing w:val="-6"/>
        </w:rPr>
        <w:t xml:space="preserve"> </w:t>
      </w:r>
      <w:r>
        <w:t>centrales</w:t>
      </w:r>
      <w:r>
        <w:rPr>
          <w:spacing w:val="-7"/>
        </w:rPr>
        <w:t xml:space="preserve"> </w:t>
      </w:r>
      <w:r>
        <w:t>photovoltaïques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toiture,</w:t>
      </w:r>
      <w:r>
        <w:rPr>
          <w:spacing w:val="-47"/>
        </w:rPr>
        <w:t xml:space="preserve"> </w:t>
      </w:r>
      <w:r>
        <w:t xml:space="preserve">dont 60% sur des toitures à rénover, représentant une puissance cumulée de 50 </w:t>
      </w:r>
      <w:proofErr w:type="spellStart"/>
      <w:r>
        <w:t>MWc</w:t>
      </w:r>
      <w:proofErr w:type="spellEnd"/>
      <w:r>
        <w:t>. Les projets</w:t>
      </w:r>
      <w:r>
        <w:rPr>
          <w:spacing w:val="1"/>
        </w:rPr>
        <w:t xml:space="preserve"> </w:t>
      </w:r>
      <w:r>
        <w:t>concernés, situés majoritairement dans le quart sud-est de la France, dont une partie es</w:t>
      </w:r>
      <w:r>
        <w:t>t déjà en</w:t>
      </w:r>
      <w:r>
        <w:rPr>
          <w:spacing w:val="1"/>
        </w:rPr>
        <w:t xml:space="preserve"> </w:t>
      </w:r>
      <w:r>
        <w:t>exploitation,</w:t>
      </w:r>
      <w:r>
        <w:rPr>
          <w:spacing w:val="-3"/>
        </w:rPr>
        <w:t xml:space="preserve"> </w:t>
      </w:r>
      <w:r>
        <w:t>seront</w:t>
      </w:r>
      <w:r>
        <w:rPr>
          <w:spacing w:val="-2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dans leur</w:t>
      </w:r>
      <w:r>
        <w:rPr>
          <w:spacing w:val="-1"/>
        </w:rPr>
        <w:t xml:space="preserve"> </w:t>
      </w:r>
      <w:r>
        <w:t>intégralité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 des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prochains mois.</w:t>
      </w:r>
    </w:p>
    <w:p w:rsidR="00EC3FDA" w:rsidRDefault="00EC3FDA">
      <w:pPr>
        <w:pStyle w:val="Corpsdetexte"/>
        <w:spacing w:before="11"/>
      </w:pPr>
    </w:p>
    <w:p w:rsidR="00EC3FDA" w:rsidRDefault="00EE6450">
      <w:pPr>
        <w:pStyle w:val="Corpsdetexte"/>
        <w:ind w:left="100" w:right="210"/>
        <w:jc w:val="both"/>
      </w:pPr>
      <w:r>
        <w:t>Développés intégralement par les équipes de Volta depuis son siège opérationnel de Corbières-en-</w:t>
      </w:r>
      <w:r>
        <w:rPr>
          <w:spacing w:val="1"/>
        </w:rPr>
        <w:t xml:space="preserve"> </w:t>
      </w:r>
      <w:r>
        <w:t>Provence,</w:t>
      </w:r>
      <w:r>
        <w:rPr>
          <w:spacing w:val="-9"/>
        </w:rPr>
        <w:t xml:space="preserve"> </w:t>
      </w:r>
      <w:r>
        <w:t>près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Manosque,</w:t>
      </w:r>
      <w:r>
        <w:rPr>
          <w:spacing w:val="-8"/>
        </w:rPr>
        <w:t xml:space="preserve"> </w:t>
      </w:r>
      <w:r>
        <w:t>ces</w:t>
      </w:r>
      <w:r>
        <w:rPr>
          <w:spacing w:val="-9"/>
        </w:rPr>
        <w:t xml:space="preserve"> </w:t>
      </w:r>
      <w:r>
        <w:t>projets</w:t>
      </w:r>
      <w:r>
        <w:rPr>
          <w:spacing w:val="-11"/>
        </w:rPr>
        <w:t xml:space="preserve"> </w:t>
      </w:r>
      <w:r>
        <w:t>illustrent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nouvelle</w:t>
      </w:r>
      <w:r>
        <w:rPr>
          <w:spacing w:val="-11"/>
        </w:rPr>
        <w:t xml:space="preserve"> </w:t>
      </w:r>
      <w:r>
        <w:t>fois</w:t>
      </w:r>
      <w:r>
        <w:rPr>
          <w:spacing w:val="-9"/>
        </w:rPr>
        <w:t xml:space="preserve"> </w:t>
      </w:r>
      <w:r>
        <w:t>l’ancrage</w:t>
      </w:r>
      <w:r>
        <w:rPr>
          <w:spacing w:val="-8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groupe,</w:t>
      </w:r>
      <w:r>
        <w:rPr>
          <w:spacing w:val="-11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plus</w:t>
      </w:r>
      <w:r>
        <w:rPr>
          <w:spacing w:val="-47"/>
        </w:rPr>
        <w:t xml:space="preserve"> </w:t>
      </w:r>
      <w:r>
        <w:rPr>
          <w:spacing w:val="-1"/>
        </w:rPr>
        <w:t>près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territoires</w:t>
      </w:r>
      <w:r>
        <w:rPr>
          <w:spacing w:val="-10"/>
        </w:rPr>
        <w:t xml:space="preserve"> </w:t>
      </w:r>
      <w:r>
        <w:t>qu’il</w:t>
      </w:r>
      <w:r>
        <w:rPr>
          <w:spacing w:val="-12"/>
        </w:rPr>
        <w:t xml:space="preserve"> </w:t>
      </w:r>
      <w:r>
        <w:t>accompagne</w:t>
      </w:r>
      <w:r>
        <w:rPr>
          <w:spacing w:val="-12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leur</w:t>
      </w:r>
      <w:r>
        <w:rPr>
          <w:spacing w:val="-11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énergétique.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valorisant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foncier</w:t>
      </w:r>
      <w:r>
        <w:rPr>
          <w:spacing w:val="-10"/>
        </w:rPr>
        <w:t xml:space="preserve"> </w:t>
      </w:r>
      <w:r>
        <w:t>existant</w:t>
      </w:r>
      <w:r>
        <w:rPr>
          <w:spacing w:val="-4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travers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installations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toiture,</w:t>
      </w:r>
      <w:r>
        <w:rPr>
          <w:spacing w:val="-8"/>
        </w:rPr>
        <w:t xml:space="preserve"> </w:t>
      </w:r>
      <w:r>
        <w:t>souvent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rénovation,</w:t>
      </w:r>
      <w:r>
        <w:rPr>
          <w:spacing w:val="-5"/>
        </w:rPr>
        <w:t xml:space="preserve"> </w:t>
      </w:r>
      <w:r>
        <w:t>Volta</w:t>
      </w:r>
      <w:r>
        <w:rPr>
          <w:spacing w:val="-8"/>
        </w:rPr>
        <w:t xml:space="preserve"> </w:t>
      </w:r>
      <w:r>
        <w:t>privilégie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modèles</w:t>
      </w:r>
      <w:r>
        <w:rPr>
          <w:spacing w:val="-7"/>
        </w:rPr>
        <w:t xml:space="preserve"> </w:t>
      </w:r>
      <w:r>
        <w:t>respectueux</w:t>
      </w:r>
      <w:r>
        <w:rPr>
          <w:spacing w:val="-47"/>
        </w:rPr>
        <w:t xml:space="preserve"> </w:t>
      </w:r>
      <w:r>
        <w:t>de l’environnement, limitant l’occupation des sols tout en favorisant l’autonomie énergétique des</w:t>
      </w:r>
      <w:r>
        <w:rPr>
          <w:spacing w:val="1"/>
        </w:rPr>
        <w:t xml:space="preserve"> </w:t>
      </w:r>
      <w:r>
        <w:t>zones rurales et périurbaines. Cette approche renforce le maillage énergétique décentralisé dans les</w:t>
      </w:r>
      <w:r>
        <w:rPr>
          <w:spacing w:val="1"/>
        </w:rPr>
        <w:t xml:space="preserve"> </w:t>
      </w:r>
      <w:r>
        <w:t>régions, crée de la valeur localement et s’in</w:t>
      </w:r>
      <w:r>
        <w:t>scrit pleinement dans une dynamique de développement</w:t>
      </w:r>
      <w:r>
        <w:rPr>
          <w:spacing w:val="1"/>
        </w:rPr>
        <w:t xml:space="preserve"> </w:t>
      </w:r>
      <w:r>
        <w:t>durable.</w:t>
      </w:r>
    </w:p>
    <w:p w:rsidR="00EC3FDA" w:rsidRDefault="00EC3FDA">
      <w:pPr>
        <w:pStyle w:val="Corpsdetexte"/>
        <w:rPr>
          <w:sz w:val="23"/>
        </w:rPr>
      </w:pPr>
    </w:p>
    <w:p w:rsidR="00EC3FDA" w:rsidRDefault="00EE6450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modèle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résilient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contexte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réglementaire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évolutif</w:t>
      </w:r>
    </w:p>
    <w:p w:rsidR="00EC3FDA" w:rsidRDefault="00EC3FDA">
      <w:pPr>
        <w:pStyle w:val="Corpsdetexte"/>
        <w:spacing w:before="11"/>
        <w:rPr>
          <w:b/>
        </w:rPr>
      </w:pPr>
    </w:p>
    <w:p w:rsidR="00EC3FDA" w:rsidRDefault="00EE6450">
      <w:pPr>
        <w:ind w:left="100" w:right="213"/>
        <w:jc w:val="both"/>
      </w:pPr>
      <w:r>
        <w:t>Spécialiste des toitures photovoltaïques, le Groupe Volta poursuit ainsi son développement sur le</w:t>
      </w:r>
      <w:r>
        <w:rPr>
          <w:spacing w:val="1"/>
        </w:rPr>
        <w:t xml:space="preserve"> </w:t>
      </w:r>
      <w:r>
        <w:t>segment</w:t>
      </w:r>
      <w:r>
        <w:rPr>
          <w:spacing w:val="-6"/>
        </w:rPr>
        <w:t xml:space="preserve"> </w:t>
      </w:r>
      <w:r>
        <w:t>stratégique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rénovation,</w:t>
      </w:r>
      <w:r>
        <w:rPr>
          <w:spacing w:val="-8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sensible</w:t>
      </w:r>
      <w:r>
        <w:rPr>
          <w:spacing w:val="-8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évolutions</w:t>
      </w:r>
      <w:r>
        <w:rPr>
          <w:spacing w:val="-7"/>
        </w:rPr>
        <w:t xml:space="preserve"> </w:t>
      </w:r>
      <w:r>
        <w:t>récentes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tarifs</w:t>
      </w:r>
      <w:r>
        <w:rPr>
          <w:spacing w:val="-6"/>
        </w:rPr>
        <w:t xml:space="preserve"> </w:t>
      </w:r>
      <w:r>
        <w:t>d’achat.</w:t>
      </w:r>
      <w:r>
        <w:rPr>
          <w:spacing w:val="-3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rPr>
          <w:i/>
        </w:rPr>
        <w:t>Les</w:t>
      </w:r>
      <w:r>
        <w:rPr>
          <w:i/>
          <w:spacing w:val="-48"/>
        </w:rPr>
        <w:t xml:space="preserve"> </w:t>
      </w:r>
      <w:r>
        <w:rPr>
          <w:i/>
        </w:rPr>
        <w:t>récentes évolutions réglementaires sur le tarif des centrales de puissance inférieure à 500kWc auront</w:t>
      </w:r>
      <w:r>
        <w:rPr>
          <w:i/>
          <w:spacing w:val="1"/>
        </w:rPr>
        <w:t xml:space="preserve"> </w:t>
      </w:r>
      <w:r>
        <w:rPr>
          <w:i/>
        </w:rPr>
        <w:t>un impact limité sur le Groupe Volta, qui a fait le choix de développer une majorité de projets en</w:t>
      </w:r>
      <w:r>
        <w:rPr>
          <w:i/>
          <w:spacing w:val="1"/>
        </w:rPr>
        <w:t xml:space="preserve"> </w:t>
      </w:r>
      <w:r>
        <w:rPr>
          <w:i/>
        </w:rPr>
        <w:t>rénovation</w:t>
      </w:r>
      <w:r>
        <w:rPr>
          <w:i/>
          <w:spacing w:val="-2"/>
        </w:rPr>
        <w:t xml:space="preserve"> </w:t>
      </w:r>
      <w:r>
        <w:t>», précise</w:t>
      </w:r>
      <w:r>
        <w:rPr>
          <w:spacing w:val="-1"/>
        </w:rPr>
        <w:t xml:space="preserve"> </w:t>
      </w:r>
      <w:r>
        <w:t>Cédric Tillier,</w:t>
      </w:r>
      <w:r>
        <w:rPr>
          <w:spacing w:val="-4"/>
        </w:rPr>
        <w:t xml:space="preserve"> </w:t>
      </w:r>
      <w:r>
        <w:t>directeur financier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Volta.</w:t>
      </w:r>
    </w:p>
    <w:p w:rsidR="00EC3FDA" w:rsidRDefault="00EC3FDA">
      <w:pPr>
        <w:pStyle w:val="Corpsdetexte"/>
        <w:rPr>
          <w:sz w:val="23"/>
        </w:rPr>
      </w:pPr>
    </w:p>
    <w:p w:rsidR="00EC3FDA" w:rsidRDefault="00EE6450">
      <w:pPr>
        <w:ind w:left="100" w:right="213" w:firstLine="50"/>
        <w:jc w:val="both"/>
        <w:rPr>
          <w:i/>
        </w:rPr>
      </w:pPr>
      <w:r>
        <w:t xml:space="preserve">« </w:t>
      </w:r>
      <w:r>
        <w:rPr>
          <w:i/>
        </w:rPr>
        <w:t>Les projets en rénovation, par nature plus complexes, exigent une grande expert</w:t>
      </w:r>
      <w:r>
        <w:rPr>
          <w:i/>
        </w:rPr>
        <w:t>ise technique dont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41"/>
        </w:rPr>
        <w:t xml:space="preserve"> </w:t>
      </w:r>
      <w:r>
        <w:rPr>
          <w:i/>
        </w:rPr>
        <w:t>équipes</w:t>
      </w:r>
      <w:r>
        <w:rPr>
          <w:i/>
          <w:spacing w:val="41"/>
        </w:rPr>
        <w:t xml:space="preserve"> </w:t>
      </w:r>
      <w:r>
        <w:rPr>
          <w:i/>
        </w:rPr>
        <w:t>VOLTA</w:t>
      </w:r>
      <w:r>
        <w:rPr>
          <w:i/>
          <w:spacing w:val="41"/>
        </w:rPr>
        <w:t xml:space="preserve"> </w:t>
      </w:r>
      <w:r>
        <w:rPr>
          <w:i/>
        </w:rPr>
        <w:t>peuvent</w:t>
      </w:r>
      <w:r>
        <w:rPr>
          <w:i/>
          <w:spacing w:val="42"/>
        </w:rPr>
        <w:t xml:space="preserve"> </w:t>
      </w:r>
      <w:r>
        <w:rPr>
          <w:i/>
        </w:rPr>
        <w:t>se</w:t>
      </w:r>
      <w:r>
        <w:rPr>
          <w:i/>
          <w:spacing w:val="42"/>
        </w:rPr>
        <w:t xml:space="preserve"> </w:t>
      </w:r>
      <w:r>
        <w:rPr>
          <w:i/>
        </w:rPr>
        <w:t>prévaloir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42"/>
        </w:rPr>
        <w:t xml:space="preserve"> </w:t>
      </w:r>
      <w:r>
        <w:rPr>
          <w:i/>
        </w:rPr>
        <w:t>désamiantage,</w:t>
      </w:r>
      <w:r>
        <w:rPr>
          <w:i/>
          <w:spacing w:val="42"/>
        </w:rPr>
        <w:t xml:space="preserve"> </w:t>
      </w:r>
      <w:r>
        <w:rPr>
          <w:i/>
        </w:rPr>
        <w:t>renforcement</w:t>
      </w:r>
      <w:r>
        <w:rPr>
          <w:i/>
          <w:spacing w:val="42"/>
        </w:rPr>
        <w:t xml:space="preserve"> </w:t>
      </w:r>
      <w:r>
        <w:rPr>
          <w:i/>
        </w:rPr>
        <w:t>des</w:t>
      </w:r>
      <w:r>
        <w:rPr>
          <w:i/>
          <w:spacing w:val="42"/>
        </w:rPr>
        <w:t xml:space="preserve"> </w:t>
      </w:r>
      <w:r>
        <w:rPr>
          <w:i/>
        </w:rPr>
        <w:t>structures,</w:t>
      </w:r>
      <w:r>
        <w:rPr>
          <w:i/>
          <w:spacing w:val="40"/>
        </w:rPr>
        <w:t xml:space="preserve"> </w:t>
      </w:r>
      <w:r>
        <w:rPr>
          <w:i/>
        </w:rPr>
        <w:t>rénovation</w:t>
      </w:r>
    </w:p>
    <w:p w:rsidR="00EC3FDA" w:rsidRDefault="00EC3FDA">
      <w:pPr>
        <w:jc w:val="both"/>
        <w:sectPr w:rsidR="00EC3FDA">
          <w:footerReference w:type="default" r:id="rId7"/>
          <w:type w:val="continuous"/>
          <w:pgSz w:w="11910" w:h="16840"/>
          <w:pgMar w:top="1020" w:right="1220" w:bottom="1200" w:left="1340" w:header="0" w:footer="1017" w:gutter="0"/>
          <w:pgNumType w:start="1"/>
          <w:cols w:space="720"/>
        </w:sectPr>
      </w:pPr>
    </w:p>
    <w:p w:rsidR="00EC3FDA" w:rsidRDefault="00EE6450">
      <w:pPr>
        <w:spacing w:before="46"/>
        <w:ind w:left="100" w:right="213"/>
        <w:jc w:val="both"/>
      </w:pPr>
      <w:proofErr w:type="gramStart"/>
      <w:r>
        <w:rPr>
          <w:i/>
          <w:spacing w:val="-1"/>
        </w:rPr>
        <w:lastRenderedPageBreak/>
        <w:t>d’étanchéité</w:t>
      </w:r>
      <w:proofErr w:type="gramEnd"/>
      <w:r>
        <w:rPr>
          <w:i/>
          <w:spacing w:val="-1"/>
        </w:rPr>
        <w:t>.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Ils</w:t>
      </w:r>
      <w:r>
        <w:rPr>
          <w:i/>
          <w:spacing w:val="-10"/>
        </w:rPr>
        <w:t xml:space="preserve"> </w:t>
      </w:r>
      <w:r>
        <w:rPr>
          <w:i/>
        </w:rPr>
        <w:t>permettent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dégager</w:t>
      </w:r>
      <w:r>
        <w:rPr>
          <w:i/>
          <w:spacing w:val="-7"/>
        </w:rPr>
        <w:t xml:space="preserve"> </w:t>
      </w:r>
      <w:r>
        <w:rPr>
          <w:i/>
        </w:rPr>
        <w:t>des</w:t>
      </w:r>
      <w:r>
        <w:rPr>
          <w:i/>
          <w:spacing w:val="-9"/>
        </w:rPr>
        <w:t xml:space="preserve"> </w:t>
      </w:r>
      <w:r>
        <w:rPr>
          <w:i/>
        </w:rPr>
        <w:t>marges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manœuvre</w:t>
      </w:r>
      <w:r>
        <w:rPr>
          <w:i/>
          <w:spacing w:val="-10"/>
        </w:rPr>
        <w:t xml:space="preserve"> </w:t>
      </w:r>
      <w:r>
        <w:rPr>
          <w:i/>
        </w:rPr>
        <w:t>afin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mieux</w:t>
      </w:r>
      <w:r>
        <w:rPr>
          <w:i/>
          <w:spacing w:val="-7"/>
        </w:rPr>
        <w:t xml:space="preserve"> </w:t>
      </w:r>
      <w:r>
        <w:rPr>
          <w:i/>
        </w:rPr>
        <w:t>absorber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baisse</w:t>
      </w:r>
      <w:r>
        <w:rPr>
          <w:i/>
          <w:spacing w:val="-7"/>
        </w:rPr>
        <w:t xml:space="preserve"> </w:t>
      </w:r>
      <w:r>
        <w:rPr>
          <w:i/>
        </w:rPr>
        <w:t>des</w:t>
      </w:r>
      <w:r>
        <w:rPr>
          <w:i/>
          <w:spacing w:val="-48"/>
        </w:rPr>
        <w:t xml:space="preserve"> </w:t>
      </w:r>
      <w:r>
        <w:rPr>
          <w:i/>
        </w:rPr>
        <w:t>tarifs à la suite de la révision de l’arrêté S21</w:t>
      </w:r>
      <w:r>
        <w:t xml:space="preserve">. </w:t>
      </w:r>
      <w:r>
        <w:rPr>
          <w:i/>
        </w:rPr>
        <w:t>Grâce à ses ressources internes dédiées à l’ingénierie et</w:t>
      </w:r>
      <w:r>
        <w:rPr>
          <w:i/>
          <w:spacing w:val="1"/>
        </w:rPr>
        <w:t xml:space="preserve"> </w:t>
      </w:r>
      <w:r>
        <w:rPr>
          <w:i/>
        </w:rPr>
        <w:t>au développement, Volta maîtrise les étapes clés de la chaîne de valeur de ce</w:t>
      </w:r>
      <w:r>
        <w:rPr>
          <w:i/>
        </w:rPr>
        <w:t>s projets</w:t>
      </w:r>
      <w:r>
        <w:t xml:space="preserve">. </w:t>
      </w:r>
      <w:r>
        <w:rPr>
          <w:i/>
        </w:rPr>
        <w:t>Ce programme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50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MWc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s’inscrit</w:t>
      </w:r>
      <w:r>
        <w:rPr>
          <w:i/>
          <w:spacing w:val="1"/>
        </w:rPr>
        <w:t xml:space="preserve"> </w:t>
      </w:r>
      <w:r>
        <w:rPr>
          <w:i/>
        </w:rPr>
        <w:t>pleinement</w:t>
      </w:r>
      <w:r>
        <w:rPr>
          <w:i/>
          <w:spacing w:val="1"/>
        </w:rPr>
        <w:t xml:space="preserve"> </w:t>
      </w:r>
      <w:r>
        <w:rPr>
          <w:i/>
        </w:rPr>
        <w:t>dans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trajectoire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croissance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groupe,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poursuit</w:t>
      </w:r>
      <w:r>
        <w:rPr>
          <w:i/>
          <w:spacing w:val="1"/>
        </w:rPr>
        <w:t xml:space="preserve"> </w:t>
      </w:r>
      <w:r>
        <w:rPr>
          <w:i/>
        </w:rPr>
        <w:t xml:space="preserve">l’industrialisation de ses </w:t>
      </w:r>
      <w:proofErr w:type="spellStart"/>
      <w:r>
        <w:rPr>
          <w:i/>
        </w:rPr>
        <w:t>process</w:t>
      </w:r>
      <w:proofErr w:type="spellEnd"/>
      <w:r>
        <w:rPr>
          <w:i/>
        </w:rPr>
        <w:t xml:space="preserve"> et la consolidation de sa position d’acteur clé du photovoltaïque en</w:t>
      </w:r>
      <w:r>
        <w:rPr>
          <w:i/>
          <w:spacing w:val="1"/>
        </w:rPr>
        <w:t xml:space="preserve"> </w:t>
      </w:r>
      <w:r>
        <w:rPr>
          <w:i/>
        </w:rPr>
        <w:t>toiture. Il nous permet d’aborder en toute confiance la prochaine étape de notre déploiement sur</w:t>
      </w:r>
      <w:r>
        <w:rPr>
          <w:i/>
          <w:spacing w:val="1"/>
        </w:rPr>
        <w:t xml:space="preserve"> </w:t>
      </w:r>
      <w:r>
        <w:rPr>
          <w:i/>
        </w:rPr>
        <w:t>l’ensemble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territoire</w:t>
      </w:r>
      <w:r>
        <w:rPr>
          <w:i/>
          <w:spacing w:val="1"/>
        </w:rPr>
        <w:t xml:space="preserve"> </w:t>
      </w:r>
      <w:r>
        <w:rPr>
          <w:i/>
        </w:rPr>
        <w:t xml:space="preserve">national </w:t>
      </w:r>
      <w:r>
        <w:t>»,</w:t>
      </w:r>
      <w:r>
        <w:rPr>
          <w:spacing w:val="1"/>
        </w:rPr>
        <w:t xml:space="preserve"> </w:t>
      </w:r>
      <w:r>
        <w:t>déclare</w:t>
      </w:r>
      <w:r>
        <w:rPr>
          <w:spacing w:val="1"/>
        </w:rPr>
        <w:t xml:space="preserve"> </w:t>
      </w:r>
      <w:r>
        <w:t>Philippe</w:t>
      </w:r>
      <w:r>
        <w:rPr>
          <w:spacing w:val="1"/>
        </w:rPr>
        <w:t xml:space="preserve"> </w:t>
      </w:r>
      <w:proofErr w:type="spellStart"/>
      <w:r>
        <w:t>Reynard</w:t>
      </w:r>
      <w:proofErr w:type="spellEnd"/>
      <w:r>
        <w:t>,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délégué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opérations.</w:t>
      </w:r>
    </w:p>
    <w:p w:rsidR="00EC3FDA" w:rsidRDefault="00EC3FDA">
      <w:pPr>
        <w:pStyle w:val="Corpsdetexte"/>
        <w:spacing w:before="4"/>
        <w:rPr>
          <w:sz w:val="26"/>
        </w:rPr>
      </w:pPr>
    </w:p>
    <w:p w:rsidR="00EC3FDA" w:rsidRDefault="00EE6450">
      <w:pPr>
        <w:ind w:left="100"/>
        <w:jc w:val="both"/>
        <w:rPr>
          <w:b/>
          <w:sz w:val="24"/>
        </w:rPr>
      </w:pPr>
      <w:r>
        <w:rPr>
          <w:b/>
          <w:color w:val="434343"/>
          <w:sz w:val="24"/>
        </w:rPr>
        <w:t>Un</w:t>
      </w:r>
      <w:r>
        <w:rPr>
          <w:b/>
          <w:color w:val="434343"/>
          <w:spacing w:val="-3"/>
          <w:sz w:val="24"/>
        </w:rPr>
        <w:t xml:space="preserve"> </w:t>
      </w:r>
      <w:r>
        <w:rPr>
          <w:b/>
          <w:color w:val="434343"/>
          <w:sz w:val="24"/>
        </w:rPr>
        <w:t>partenariat</w:t>
      </w:r>
      <w:r>
        <w:rPr>
          <w:b/>
          <w:color w:val="434343"/>
          <w:spacing w:val="-2"/>
          <w:sz w:val="24"/>
        </w:rPr>
        <w:t xml:space="preserve"> </w:t>
      </w:r>
      <w:r>
        <w:rPr>
          <w:b/>
          <w:color w:val="434343"/>
          <w:sz w:val="24"/>
        </w:rPr>
        <w:t>renforcé,</w:t>
      </w:r>
      <w:r>
        <w:rPr>
          <w:b/>
          <w:color w:val="434343"/>
          <w:spacing w:val="-5"/>
          <w:sz w:val="24"/>
        </w:rPr>
        <w:t xml:space="preserve"> </w:t>
      </w:r>
      <w:r>
        <w:rPr>
          <w:b/>
          <w:color w:val="434343"/>
          <w:sz w:val="24"/>
        </w:rPr>
        <w:t>une ambition</w:t>
      </w:r>
      <w:r>
        <w:rPr>
          <w:b/>
          <w:color w:val="434343"/>
          <w:spacing w:val="-4"/>
          <w:sz w:val="24"/>
        </w:rPr>
        <w:t xml:space="preserve"> </w:t>
      </w:r>
      <w:r>
        <w:rPr>
          <w:b/>
          <w:color w:val="434343"/>
          <w:sz w:val="24"/>
        </w:rPr>
        <w:t>réaffirmée</w:t>
      </w:r>
      <w:r>
        <w:rPr>
          <w:b/>
          <w:color w:val="434343"/>
          <w:spacing w:val="-4"/>
          <w:sz w:val="24"/>
        </w:rPr>
        <w:t xml:space="preserve"> </w:t>
      </w:r>
      <w:r>
        <w:rPr>
          <w:b/>
          <w:color w:val="434343"/>
          <w:sz w:val="24"/>
        </w:rPr>
        <w:t>pour</w:t>
      </w:r>
      <w:r>
        <w:rPr>
          <w:b/>
          <w:color w:val="434343"/>
          <w:spacing w:val="-4"/>
          <w:sz w:val="24"/>
        </w:rPr>
        <w:t xml:space="preserve"> </w:t>
      </w:r>
      <w:r>
        <w:rPr>
          <w:b/>
          <w:color w:val="434343"/>
          <w:sz w:val="24"/>
        </w:rPr>
        <w:t>2025</w:t>
      </w:r>
    </w:p>
    <w:p w:rsidR="00EC3FDA" w:rsidRDefault="00EC3FDA">
      <w:pPr>
        <w:pStyle w:val="Corpsdetexte"/>
        <w:spacing w:before="8"/>
        <w:rPr>
          <w:b/>
          <w:sz w:val="29"/>
        </w:rPr>
      </w:pPr>
    </w:p>
    <w:p w:rsidR="00EC3FDA" w:rsidRDefault="00EE6450">
      <w:pPr>
        <w:pStyle w:val="Corpsdetexte"/>
        <w:ind w:left="100" w:right="213"/>
        <w:jc w:val="both"/>
      </w:pPr>
      <w:proofErr w:type="spellStart"/>
      <w:r>
        <w:t>Arkéa</w:t>
      </w:r>
      <w:proofErr w:type="spellEnd"/>
      <w:r>
        <w:t xml:space="preserve"> Banque Entreprises et Institutionnels a structuré et piloté ce nouveau financement, aux côtés</w:t>
      </w:r>
      <w:r>
        <w:rPr>
          <w:spacing w:val="1"/>
        </w:rPr>
        <w:t xml:space="preserve"> </w:t>
      </w:r>
      <w:r>
        <w:t>de six autres établissements bancaires : Banque Populaire Grand Ouest, Banque Palatine, Crédit</w:t>
      </w:r>
      <w:r>
        <w:rPr>
          <w:spacing w:val="1"/>
        </w:rPr>
        <w:t xml:space="preserve"> </w:t>
      </w:r>
      <w:r>
        <w:t>Agricole</w:t>
      </w:r>
      <w:r>
        <w:rPr>
          <w:spacing w:val="1"/>
        </w:rPr>
        <w:t xml:space="preserve"> </w:t>
      </w:r>
      <w:r>
        <w:t>Languedoc,</w:t>
      </w:r>
      <w:r>
        <w:rPr>
          <w:spacing w:val="1"/>
        </w:rPr>
        <w:t xml:space="preserve"> </w:t>
      </w:r>
      <w:r>
        <w:t>Crédit</w:t>
      </w:r>
      <w:r>
        <w:rPr>
          <w:spacing w:val="1"/>
        </w:rPr>
        <w:t xml:space="preserve"> </w:t>
      </w:r>
      <w:r>
        <w:t>Coopératif,</w:t>
      </w:r>
      <w:r>
        <w:rPr>
          <w:spacing w:val="1"/>
        </w:rPr>
        <w:t xml:space="preserve"> </w:t>
      </w:r>
      <w:r>
        <w:t>Crédit</w:t>
      </w:r>
      <w:r>
        <w:rPr>
          <w:spacing w:val="1"/>
        </w:rPr>
        <w:t xml:space="preserve"> </w:t>
      </w:r>
      <w:r>
        <w:t>Agricole</w:t>
      </w:r>
      <w:r>
        <w:rPr>
          <w:spacing w:val="1"/>
        </w:rPr>
        <w:t xml:space="preserve"> </w:t>
      </w:r>
      <w:r>
        <w:t>Provence</w:t>
      </w:r>
      <w:r>
        <w:rPr>
          <w:spacing w:val="1"/>
        </w:rPr>
        <w:t xml:space="preserve"> </w:t>
      </w:r>
      <w:r>
        <w:t>Côte</w:t>
      </w:r>
      <w:r>
        <w:rPr>
          <w:spacing w:val="1"/>
        </w:rPr>
        <w:t xml:space="preserve"> </w:t>
      </w:r>
      <w:r>
        <w:t>d’Azur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Nef.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mobilisation</w:t>
      </w:r>
      <w:r>
        <w:rPr>
          <w:spacing w:val="-4"/>
        </w:rPr>
        <w:t xml:space="preserve"> </w:t>
      </w:r>
      <w:r>
        <w:t>conjointe</w:t>
      </w:r>
      <w:r>
        <w:rPr>
          <w:spacing w:val="-2"/>
        </w:rPr>
        <w:t xml:space="preserve"> </w:t>
      </w:r>
      <w:r>
        <w:t>traduit une</w:t>
      </w:r>
      <w:r>
        <w:rPr>
          <w:spacing w:val="1"/>
        </w:rPr>
        <w:t xml:space="preserve"> </w:t>
      </w:r>
      <w:r>
        <w:t>dynamique de</w:t>
      </w:r>
      <w:r>
        <w:rPr>
          <w:spacing w:val="-2"/>
        </w:rPr>
        <w:t xml:space="preserve"> </w:t>
      </w:r>
      <w:r>
        <w:t>confiance</w:t>
      </w:r>
      <w:r>
        <w:rPr>
          <w:spacing w:val="1"/>
        </w:rPr>
        <w:t xml:space="preserve"> </w:t>
      </w:r>
      <w:r>
        <w:t>autour du</w:t>
      </w:r>
      <w:r>
        <w:rPr>
          <w:spacing w:val="-2"/>
        </w:rPr>
        <w:t xml:space="preserve"> </w:t>
      </w:r>
      <w:r>
        <w:t>projet.</w:t>
      </w:r>
    </w:p>
    <w:p w:rsidR="00EC3FDA" w:rsidRDefault="00EC3FDA">
      <w:pPr>
        <w:pStyle w:val="Corpsdetexte"/>
        <w:spacing w:before="11"/>
      </w:pPr>
    </w:p>
    <w:p w:rsidR="00EC3FDA" w:rsidRDefault="00EE6450">
      <w:pPr>
        <w:pStyle w:val="Corpsdetexte"/>
        <w:ind w:left="100" w:right="214"/>
        <w:jc w:val="both"/>
      </w:pPr>
      <w:r>
        <w:t xml:space="preserve">Cette démarche témoigne également de la solidité des liens entre le Groupe Volta et </w:t>
      </w:r>
      <w:proofErr w:type="spellStart"/>
      <w:r>
        <w:t>Arkéa</w:t>
      </w:r>
      <w:proofErr w:type="spellEnd"/>
      <w:r>
        <w:t xml:space="preserve"> Banque</w:t>
      </w:r>
      <w:r>
        <w:rPr>
          <w:spacing w:val="1"/>
        </w:rPr>
        <w:t xml:space="preserve"> </w:t>
      </w:r>
      <w:r>
        <w:t>E&amp;I, qui ont déjà collaboré sur le développ</w:t>
      </w:r>
      <w:r>
        <w:t>ement d’un portefeuille éolien et la mise en service, début</w:t>
      </w:r>
      <w:r>
        <w:rPr>
          <w:spacing w:val="-47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des premières</w:t>
      </w:r>
      <w:r>
        <w:rPr>
          <w:spacing w:val="-2"/>
        </w:rPr>
        <w:t xml:space="preserve"> </w:t>
      </w:r>
      <w:r>
        <w:t>serres</w:t>
      </w:r>
      <w:r>
        <w:rPr>
          <w:spacing w:val="-3"/>
        </w:rPr>
        <w:t xml:space="preserve"> </w:t>
      </w:r>
      <w:r>
        <w:t>photovoltaïques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MW.</w:t>
      </w:r>
    </w:p>
    <w:p w:rsidR="00EC3FDA" w:rsidRDefault="00EC3FDA">
      <w:pPr>
        <w:pStyle w:val="Corpsdetexte"/>
        <w:spacing w:before="1"/>
        <w:rPr>
          <w:sz w:val="23"/>
        </w:rPr>
      </w:pPr>
    </w:p>
    <w:p w:rsidR="00EC3FDA" w:rsidRDefault="00EE6450">
      <w:pPr>
        <w:ind w:left="100" w:right="213"/>
        <w:jc w:val="both"/>
      </w:pPr>
      <w:r>
        <w:t xml:space="preserve">« </w:t>
      </w:r>
      <w:r>
        <w:rPr>
          <w:i/>
        </w:rPr>
        <w:t>Cette opération est emblématique de nos engagements en matière de développement durable et</w:t>
      </w:r>
      <w:r>
        <w:rPr>
          <w:i/>
          <w:spacing w:val="1"/>
        </w:rPr>
        <w:t xml:space="preserve"> </w:t>
      </w:r>
      <w:r>
        <w:rPr>
          <w:i/>
        </w:rPr>
        <w:t>responsable. En finançant des projets d’énergies r</w:t>
      </w:r>
      <w:r>
        <w:rPr>
          <w:i/>
        </w:rPr>
        <w:t>enouvelables à dimension locale, nous illustrons</w:t>
      </w:r>
      <w:r>
        <w:rPr>
          <w:i/>
          <w:spacing w:val="1"/>
        </w:rPr>
        <w:t xml:space="preserve"> </w:t>
      </w:r>
      <w:r>
        <w:rPr>
          <w:i/>
        </w:rPr>
        <w:t>notre bonne connaissance des écosystèmes et réaffirmons notre volonté d’accompagner la transition</w:t>
      </w:r>
      <w:r>
        <w:rPr>
          <w:i/>
          <w:spacing w:val="1"/>
        </w:rPr>
        <w:t xml:space="preserve"> </w:t>
      </w:r>
      <w:r>
        <w:rPr>
          <w:i/>
        </w:rPr>
        <w:t>dans les territoires. Une nouvelle fois, nous démontrons que la finance est un outil au service d’un</w:t>
      </w:r>
      <w:r>
        <w:rPr>
          <w:i/>
          <w:spacing w:val="1"/>
        </w:rPr>
        <w:t xml:space="preserve"> </w:t>
      </w:r>
      <w:r>
        <w:rPr>
          <w:i/>
        </w:rPr>
        <w:t>monde plus durable, comme le rappelle « Faire 2030 », le plan stratégique du groupe Crédit Mutuel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Arkéa</w:t>
      </w:r>
      <w:proofErr w:type="spellEnd"/>
      <w:r>
        <w:rPr>
          <w:i/>
        </w:rPr>
        <w:t>»,</w:t>
      </w:r>
      <w:r>
        <w:rPr>
          <w:i/>
          <w:spacing w:val="1"/>
        </w:rPr>
        <w:t xml:space="preserve"> </w:t>
      </w:r>
      <w:r>
        <w:t>conclut</w:t>
      </w:r>
      <w:r>
        <w:rPr>
          <w:spacing w:val="1"/>
        </w:rPr>
        <w:t xml:space="preserve"> </w:t>
      </w:r>
      <w:r>
        <w:t>Benjamin</w:t>
      </w:r>
      <w:r>
        <w:rPr>
          <w:spacing w:val="1"/>
        </w:rPr>
        <w:t xml:space="preserve"> </w:t>
      </w:r>
      <w:proofErr w:type="spellStart"/>
      <w:r>
        <w:t>Daheron</w:t>
      </w:r>
      <w:proofErr w:type="spellEnd"/>
      <w:r>
        <w:t>,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Environnementale</w:t>
      </w:r>
      <w:r>
        <w:rPr>
          <w:spacing w:val="-3"/>
        </w:rPr>
        <w:t xml:space="preserve"> </w:t>
      </w:r>
      <w:r>
        <w:t>chez</w:t>
      </w:r>
      <w:r>
        <w:rPr>
          <w:spacing w:val="-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 Entreprises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Institutionnels.</w:t>
      </w:r>
    </w:p>
    <w:p w:rsidR="00EC3FDA" w:rsidRDefault="00EC3FDA">
      <w:pPr>
        <w:pStyle w:val="Corpsdetexte"/>
        <w:spacing w:before="6"/>
        <w:rPr>
          <w:sz w:val="25"/>
        </w:rPr>
      </w:pPr>
    </w:p>
    <w:p w:rsidR="00EC3FDA" w:rsidRDefault="00EE6450">
      <w:pPr>
        <w:ind w:left="100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Groupe</w:t>
      </w:r>
      <w:hyperlink r:id="rId8">
        <w:r>
          <w:rPr>
            <w:b/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b/>
            <w:color w:val="0000FF"/>
            <w:sz w:val="20"/>
            <w:u w:val="single" w:color="0000FF"/>
          </w:rPr>
          <w:t>Volta</w:t>
        </w:r>
      </w:hyperlink>
    </w:p>
    <w:p w:rsidR="00EC3FDA" w:rsidRDefault="00EE6450">
      <w:pPr>
        <w:spacing w:before="37"/>
        <w:ind w:left="100" w:right="216"/>
        <w:jc w:val="both"/>
        <w:rPr>
          <w:sz w:val="20"/>
        </w:rPr>
      </w:pPr>
      <w:r>
        <w:rPr>
          <w:spacing w:val="-1"/>
          <w:sz w:val="20"/>
        </w:rPr>
        <w:t>Producteur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indépendant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d’énergies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renouvelables,</w:t>
      </w:r>
      <w:r>
        <w:rPr>
          <w:spacing w:val="-8"/>
          <w:sz w:val="20"/>
        </w:rPr>
        <w:t xml:space="preserve"> </w:t>
      </w:r>
      <w:r>
        <w:rPr>
          <w:sz w:val="20"/>
        </w:rPr>
        <w:t>Volta</w:t>
      </w:r>
      <w:r>
        <w:rPr>
          <w:spacing w:val="-8"/>
          <w:sz w:val="20"/>
        </w:rPr>
        <w:t xml:space="preserve"> </w:t>
      </w:r>
      <w:r>
        <w:rPr>
          <w:sz w:val="20"/>
        </w:rPr>
        <w:t>est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acteur</w:t>
      </w:r>
      <w:r>
        <w:rPr>
          <w:spacing w:val="-3"/>
          <w:sz w:val="20"/>
        </w:rPr>
        <w:t xml:space="preserve"> </w:t>
      </w:r>
      <w:r>
        <w:rPr>
          <w:sz w:val="20"/>
        </w:rPr>
        <w:t>européen</w:t>
      </w:r>
      <w:r>
        <w:rPr>
          <w:spacing w:val="-5"/>
          <w:sz w:val="20"/>
        </w:rPr>
        <w:t xml:space="preserve"> </w:t>
      </w:r>
      <w:r>
        <w:rPr>
          <w:sz w:val="20"/>
        </w:rPr>
        <w:t>avec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fort</w:t>
      </w:r>
      <w:r>
        <w:rPr>
          <w:spacing w:val="-7"/>
          <w:sz w:val="20"/>
        </w:rPr>
        <w:t xml:space="preserve"> </w:t>
      </w:r>
      <w:r>
        <w:rPr>
          <w:sz w:val="20"/>
        </w:rPr>
        <w:t>ancrage</w:t>
      </w:r>
      <w:r>
        <w:rPr>
          <w:spacing w:val="-9"/>
          <w:sz w:val="20"/>
        </w:rPr>
        <w:t xml:space="preserve"> </w:t>
      </w:r>
      <w:r>
        <w:rPr>
          <w:sz w:val="20"/>
        </w:rPr>
        <w:t>territorial.</w:t>
      </w:r>
      <w:r>
        <w:rPr>
          <w:spacing w:val="-43"/>
          <w:sz w:val="20"/>
        </w:rPr>
        <w:t xml:space="preserve"> </w:t>
      </w:r>
      <w:r>
        <w:rPr>
          <w:sz w:val="20"/>
        </w:rPr>
        <w:t>Volta et ses équipes sont animés par un engagement sans faille en faveur du développement des énergies</w:t>
      </w:r>
      <w:r>
        <w:rPr>
          <w:spacing w:val="1"/>
          <w:sz w:val="20"/>
        </w:rPr>
        <w:t xml:space="preserve"> </w:t>
      </w:r>
      <w:r>
        <w:rPr>
          <w:sz w:val="20"/>
        </w:rPr>
        <w:t>renouvelable en régions. Proche des projets qu’il accompagne grâce à ses équipes locales, le groupe a la</w:t>
      </w:r>
      <w:r>
        <w:rPr>
          <w:spacing w:val="1"/>
          <w:sz w:val="20"/>
        </w:rPr>
        <w:t xml:space="preserve"> </w:t>
      </w:r>
      <w:r>
        <w:rPr>
          <w:sz w:val="20"/>
        </w:rPr>
        <w:t>conviction</w:t>
      </w:r>
      <w:r>
        <w:rPr>
          <w:spacing w:val="-4"/>
          <w:sz w:val="20"/>
        </w:rPr>
        <w:t xml:space="preserve"> </w:t>
      </w:r>
      <w:r>
        <w:rPr>
          <w:sz w:val="20"/>
        </w:rPr>
        <w:t>qu’ils</w:t>
      </w:r>
      <w:r>
        <w:rPr>
          <w:spacing w:val="-5"/>
          <w:sz w:val="20"/>
        </w:rPr>
        <w:t xml:space="preserve"> </w:t>
      </w:r>
      <w:r>
        <w:rPr>
          <w:sz w:val="20"/>
        </w:rPr>
        <w:t>doivent</w:t>
      </w:r>
      <w:r>
        <w:rPr>
          <w:spacing w:val="-4"/>
          <w:sz w:val="20"/>
        </w:rPr>
        <w:t xml:space="preserve"> </w:t>
      </w:r>
      <w:r>
        <w:rPr>
          <w:sz w:val="20"/>
        </w:rPr>
        <w:t>être</w:t>
      </w:r>
      <w:r>
        <w:rPr>
          <w:spacing w:val="-6"/>
          <w:sz w:val="20"/>
        </w:rPr>
        <w:t xml:space="preserve"> </w:t>
      </w:r>
      <w:r>
        <w:rPr>
          <w:sz w:val="20"/>
        </w:rPr>
        <w:t>porteurs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sens</w:t>
      </w:r>
      <w:r>
        <w:rPr>
          <w:spacing w:val="-4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économique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environnemental</w:t>
      </w:r>
      <w:r>
        <w:rPr>
          <w:spacing w:val="-4"/>
          <w:sz w:val="20"/>
        </w:rPr>
        <w:t xml:space="preserve"> </w:t>
      </w:r>
      <w:r>
        <w:rPr>
          <w:sz w:val="20"/>
        </w:rPr>
        <w:t>positif</w:t>
      </w:r>
      <w:r>
        <w:rPr>
          <w:spacing w:val="-6"/>
          <w:sz w:val="20"/>
        </w:rPr>
        <w:t xml:space="preserve"> </w:t>
      </w:r>
      <w:r>
        <w:rPr>
          <w:sz w:val="20"/>
        </w:rPr>
        <w:t>tangible.</w:t>
      </w:r>
      <w:r>
        <w:rPr>
          <w:spacing w:val="-42"/>
          <w:sz w:val="20"/>
        </w:rPr>
        <w:t xml:space="preserve"> </w:t>
      </w:r>
      <w:r>
        <w:rPr>
          <w:sz w:val="20"/>
        </w:rPr>
        <w:t>Les solutions de Volta sont respectueuses de l’environnement dans lequel elles s’inscrivent, dans un souci</w:t>
      </w:r>
      <w:r>
        <w:rPr>
          <w:spacing w:val="1"/>
          <w:sz w:val="20"/>
        </w:rPr>
        <w:t xml:space="preserve"> </w:t>
      </w:r>
      <w:r>
        <w:rPr>
          <w:sz w:val="20"/>
        </w:rPr>
        <w:t>permanent de préserver l’existant pour le rendre utile en privilégiant notamment le ph</w:t>
      </w:r>
      <w:r>
        <w:rPr>
          <w:sz w:val="20"/>
        </w:rPr>
        <w:t>otovoltaïque en toiture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repowering</w:t>
      </w:r>
      <w:proofErr w:type="spellEnd"/>
      <w:r>
        <w:rPr>
          <w:sz w:val="20"/>
        </w:rPr>
        <w:t>.</w:t>
      </w:r>
    </w:p>
    <w:p w:rsidR="00EC3FDA" w:rsidRDefault="00EC3FDA">
      <w:pPr>
        <w:pStyle w:val="Corpsdetexte"/>
        <w:spacing w:before="10"/>
      </w:pPr>
    </w:p>
    <w:p w:rsidR="00EC3FDA" w:rsidRDefault="00EE6450">
      <w:pPr>
        <w:spacing w:line="219" w:lineRule="exact"/>
        <w:ind w:right="217"/>
        <w:jc w:val="right"/>
        <w:rPr>
          <w:b/>
          <w:sz w:val="18"/>
        </w:rPr>
      </w:pPr>
      <w:r>
        <w:rPr>
          <w:b/>
          <w:sz w:val="18"/>
        </w:rPr>
        <w:t>Contact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presse</w:t>
      </w:r>
    </w:p>
    <w:p w:rsidR="00EC3FDA" w:rsidRDefault="00EE6450">
      <w:pPr>
        <w:spacing w:line="219" w:lineRule="exact"/>
        <w:ind w:right="214"/>
        <w:jc w:val="right"/>
        <w:rPr>
          <w:sz w:val="18"/>
        </w:rPr>
      </w:pPr>
      <w:r>
        <w:rPr>
          <w:sz w:val="18"/>
        </w:rPr>
        <w:t>Anna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Casal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06</w:t>
      </w:r>
      <w:r>
        <w:rPr>
          <w:spacing w:val="-2"/>
          <w:sz w:val="18"/>
        </w:rPr>
        <w:t xml:space="preserve"> </w:t>
      </w:r>
      <w:r>
        <w:rPr>
          <w:sz w:val="18"/>
        </w:rPr>
        <w:t>50</w:t>
      </w:r>
      <w:r>
        <w:rPr>
          <w:spacing w:val="-2"/>
          <w:sz w:val="18"/>
        </w:rPr>
        <w:t xml:space="preserve"> </w:t>
      </w:r>
      <w:r>
        <w:rPr>
          <w:sz w:val="18"/>
        </w:rPr>
        <w:t>61</w:t>
      </w:r>
      <w:r>
        <w:rPr>
          <w:spacing w:val="-1"/>
          <w:sz w:val="18"/>
        </w:rPr>
        <w:t xml:space="preserve"> </w:t>
      </w:r>
      <w:r>
        <w:rPr>
          <w:sz w:val="18"/>
        </w:rPr>
        <w:t>55</w:t>
      </w:r>
      <w:r>
        <w:rPr>
          <w:spacing w:val="-2"/>
          <w:sz w:val="18"/>
        </w:rPr>
        <w:t xml:space="preserve"> </w:t>
      </w:r>
      <w:r>
        <w:rPr>
          <w:sz w:val="18"/>
        </w:rPr>
        <w:t>71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anna.casal@ct-com.com</w:t>
        </w:r>
      </w:hyperlink>
    </w:p>
    <w:p w:rsidR="00EC3FDA" w:rsidRDefault="00EC3FDA">
      <w:pPr>
        <w:pStyle w:val="Corpsdetexte"/>
        <w:spacing w:before="3"/>
        <w:rPr>
          <w:sz w:val="18"/>
        </w:rPr>
      </w:pPr>
    </w:p>
    <w:p w:rsidR="00EC3FDA" w:rsidRDefault="00EE6450">
      <w:pPr>
        <w:spacing w:before="59"/>
        <w:ind w:left="100"/>
        <w:jc w:val="both"/>
        <w:rPr>
          <w:b/>
          <w:sz w:val="20"/>
        </w:rPr>
      </w:pPr>
      <w:r>
        <w:rPr>
          <w:b/>
          <w:sz w:val="20"/>
        </w:rPr>
        <w:t>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Institutionnels</w:t>
      </w:r>
    </w:p>
    <w:p w:rsidR="00EC3FDA" w:rsidRDefault="00EE6450">
      <w:pPr>
        <w:spacing w:before="1"/>
        <w:ind w:left="100" w:right="217"/>
        <w:jc w:val="both"/>
        <w:rPr>
          <w:sz w:val="20"/>
        </w:rPr>
      </w:pPr>
      <w:hyperlink r:id="rId10">
        <w:proofErr w:type="spellStart"/>
        <w:r>
          <w:rPr>
            <w:sz w:val="20"/>
          </w:rPr>
          <w:t>Arkéa</w:t>
        </w:r>
        <w:proofErr w:type="spellEnd"/>
        <w:r>
          <w:rPr>
            <w:spacing w:val="-5"/>
            <w:sz w:val="20"/>
          </w:rPr>
          <w:t xml:space="preserve"> </w:t>
        </w:r>
        <w:r>
          <w:rPr>
            <w:sz w:val="20"/>
          </w:rPr>
          <w:t>Banque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Entreprises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et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 xml:space="preserve">Institutionnels </w:t>
        </w:r>
      </w:hyperlink>
      <w:r>
        <w:rPr>
          <w:sz w:val="20"/>
        </w:rPr>
        <w:t>est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filiale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groupe</w:t>
      </w:r>
      <w:r>
        <w:rPr>
          <w:spacing w:val="-5"/>
          <w:sz w:val="20"/>
        </w:rPr>
        <w:t xml:space="preserve"> </w:t>
      </w:r>
      <w:r>
        <w:rPr>
          <w:sz w:val="20"/>
        </w:rPr>
        <w:t>Crédit</w:t>
      </w:r>
      <w:r>
        <w:rPr>
          <w:spacing w:val="-4"/>
          <w:sz w:val="20"/>
        </w:rPr>
        <w:t xml:space="preserve"> </w:t>
      </w:r>
      <w:r>
        <w:rPr>
          <w:sz w:val="20"/>
        </w:rPr>
        <w:t>Mutuel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Arkéa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dédiée</w:t>
      </w:r>
      <w:r>
        <w:rPr>
          <w:spacing w:val="-5"/>
          <w:sz w:val="20"/>
        </w:rPr>
        <w:t xml:space="preserve"> </w:t>
      </w:r>
      <w:r>
        <w:rPr>
          <w:sz w:val="20"/>
        </w:rPr>
        <w:t>aux</w:t>
      </w:r>
      <w:r>
        <w:rPr>
          <w:spacing w:val="-2"/>
          <w:sz w:val="20"/>
        </w:rPr>
        <w:t xml:space="preserve"> </w:t>
      </w:r>
      <w:r>
        <w:rPr>
          <w:sz w:val="20"/>
        </w:rPr>
        <w:t>marchés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43"/>
          <w:sz w:val="20"/>
        </w:rPr>
        <w:t xml:space="preserve"> </w:t>
      </w:r>
      <w:r>
        <w:rPr>
          <w:sz w:val="20"/>
        </w:rPr>
        <w:t>entreprises (PME &amp;</w:t>
      </w:r>
      <w:r>
        <w:rPr>
          <w:sz w:val="20"/>
        </w:rPr>
        <w:t xml:space="preserve"> ETI), des acteurs publics et institutionnels locaux et des professionnels de l’immobilier.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banque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accompagne</w:t>
      </w:r>
      <w:r>
        <w:rPr>
          <w:spacing w:val="-9"/>
          <w:sz w:val="20"/>
        </w:rPr>
        <w:t xml:space="preserve"> </w:t>
      </w:r>
      <w:r>
        <w:rPr>
          <w:sz w:val="20"/>
        </w:rPr>
        <w:t>15</w:t>
      </w:r>
      <w:r>
        <w:rPr>
          <w:spacing w:val="-9"/>
          <w:sz w:val="20"/>
        </w:rPr>
        <w:t xml:space="preserve"> </w:t>
      </w:r>
      <w:r>
        <w:rPr>
          <w:sz w:val="20"/>
        </w:rPr>
        <w:t>000</w:t>
      </w:r>
      <w:r>
        <w:rPr>
          <w:spacing w:val="-9"/>
          <w:sz w:val="20"/>
        </w:rPr>
        <w:t xml:space="preserve"> </w:t>
      </w:r>
      <w:r>
        <w:rPr>
          <w:sz w:val="20"/>
        </w:rPr>
        <w:t>acteurs</w:t>
      </w:r>
      <w:r>
        <w:rPr>
          <w:spacing w:val="-8"/>
          <w:sz w:val="20"/>
        </w:rPr>
        <w:t xml:space="preserve"> </w:t>
      </w:r>
      <w:r>
        <w:rPr>
          <w:sz w:val="20"/>
        </w:rPr>
        <w:t>économiques</w:t>
      </w:r>
      <w:r>
        <w:rPr>
          <w:spacing w:val="-7"/>
          <w:sz w:val="20"/>
        </w:rPr>
        <w:t xml:space="preserve"> </w:t>
      </w:r>
      <w:r>
        <w:rPr>
          <w:sz w:val="20"/>
        </w:rPr>
        <w:t>partout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France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travers</w:t>
      </w:r>
      <w:r>
        <w:rPr>
          <w:spacing w:val="-9"/>
          <w:sz w:val="20"/>
        </w:rPr>
        <w:t xml:space="preserve"> </w:t>
      </w:r>
      <w:r>
        <w:rPr>
          <w:sz w:val="20"/>
        </w:rPr>
        <w:t>ses</w:t>
      </w:r>
      <w:r>
        <w:rPr>
          <w:spacing w:val="-8"/>
          <w:sz w:val="20"/>
        </w:rPr>
        <w:t xml:space="preserve"> </w:t>
      </w:r>
      <w:r>
        <w:rPr>
          <w:sz w:val="20"/>
        </w:rPr>
        <w:t>21</w:t>
      </w:r>
      <w:r>
        <w:rPr>
          <w:spacing w:val="-9"/>
          <w:sz w:val="20"/>
        </w:rPr>
        <w:t xml:space="preserve"> </w:t>
      </w:r>
      <w:r>
        <w:rPr>
          <w:sz w:val="20"/>
        </w:rPr>
        <w:t>implantations.</w:t>
      </w:r>
      <w:r>
        <w:rPr>
          <w:spacing w:val="-11"/>
          <w:sz w:val="20"/>
        </w:rPr>
        <w:t xml:space="preserve"> </w:t>
      </w:r>
      <w:r>
        <w:rPr>
          <w:sz w:val="20"/>
        </w:rPr>
        <w:t>Elle</w:t>
      </w:r>
      <w:r>
        <w:rPr>
          <w:spacing w:val="-9"/>
          <w:sz w:val="20"/>
        </w:rPr>
        <w:t xml:space="preserve"> </w:t>
      </w:r>
      <w:r>
        <w:rPr>
          <w:sz w:val="20"/>
        </w:rPr>
        <w:t>propose</w:t>
      </w:r>
      <w:r>
        <w:rPr>
          <w:spacing w:val="-43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ses</w:t>
      </w:r>
      <w:r>
        <w:rPr>
          <w:spacing w:val="-3"/>
          <w:sz w:val="20"/>
        </w:rPr>
        <w:t xml:space="preserve"> </w:t>
      </w:r>
      <w:r>
        <w:rPr>
          <w:sz w:val="20"/>
        </w:rPr>
        <w:t>clients</w:t>
      </w:r>
      <w:r>
        <w:rPr>
          <w:spacing w:val="-4"/>
          <w:sz w:val="20"/>
        </w:rPr>
        <w:t xml:space="preserve"> </w:t>
      </w:r>
      <w:r>
        <w:rPr>
          <w:sz w:val="20"/>
        </w:rPr>
        <w:t>une</w:t>
      </w:r>
      <w:r>
        <w:rPr>
          <w:spacing w:val="-4"/>
          <w:sz w:val="20"/>
        </w:rPr>
        <w:t xml:space="preserve"> </w:t>
      </w:r>
      <w:r>
        <w:rPr>
          <w:sz w:val="20"/>
        </w:rPr>
        <w:t>offre</w:t>
      </w:r>
      <w:r>
        <w:rPr>
          <w:spacing w:val="-4"/>
          <w:sz w:val="20"/>
        </w:rPr>
        <w:t xml:space="preserve"> </w:t>
      </w:r>
      <w:r>
        <w:rPr>
          <w:sz w:val="20"/>
        </w:rPr>
        <w:t>complète</w:t>
      </w:r>
      <w:r>
        <w:rPr>
          <w:spacing w:val="-4"/>
          <w:sz w:val="20"/>
        </w:rPr>
        <w:t xml:space="preserve"> </w:t>
      </w:r>
      <w:r>
        <w:rPr>
          <w:sz w:val="20"/>
        </w:rPr>
        <w:t>(financements,</w:t>
      </w:r>
      <w:r>
        <w:rPr>
          <w:spacing w:val="-3"/>
          <w:sz w:val="20"/>
        </w:rPr>
        <w:t xml:space="preserve"> </w:t>
      </w:r>
      <w:r>
        <w:rPr>
          <w:sz w:val="20"/>
        </w:rPr>
        <w:t>trait</w:t>
      </w:r>
      <w:r>
        <w:rPr>
          <w:sz w:val="20"/>
        </w:rPr>
        <w:t>ement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flux,</w:t>
      </w:r>
      <w:r>
        <w:rPr>
          <w:spacing w:val="-3"/>
          <w:sz w:val="20"/>
        </w:rPr>
        <w:t xml:space="preserve"> </w:t>
      </w:r>
      <w:r>
        <w:rPr>
          <w:sz w:val="20"/>
        </w:rPr>
        <w:t>moyens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paiement,</w:t>
      </w:r>
      <w:r>
        <w:rPr>
          <w:spacing w:val="-3"/>
          <w:sz w:val="20"/>
        </w:rPr>
        <w:t xml:space="preserve"> </w:t>
      </w:r>
      <w:r>
        <w:rPr>
          <w:sz w:val="20"/>
        </w:rPr>
        <w:t>épargne,</w:t>
      </w:r>
      <w:r>
        <w:rPr>
          <w:spacing w:val="-3"/>
          <w:sz w:val="20"/>
        </w:rPr>
        <w:t xml:space="preserve"> </w:t>
      </w:r>
      <w:r>
        <w:rPr>
          <w:sz w:val="20"/>
        </w:rPr>
        <w:t>assurances,</w:t>
      </w:r>
      <w:r>
        <w:rPr>
          <w:spacing w:val="-43"/>
          <w:sz w:val="20"/>
        </w:rPr>
        <w:t xml:space="preserve"> </w:t>
      </w:r>
      <w:r>
        <w:rPr>
          <w:sz w:val="20"/>
        </w:rPr>
        <w:t>opérations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des marchés,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 etc.).</w:t>
      </w:r>
    </w:p>
    <w:p w:rsidR="00EC3FDA" w:rsidRDefault="00EE6450">
      <w:pPr>
        <w:spacing w:line="243" w:lineRule="exact"/>
        <w:ind w:left="100"/>
        <w:jc w:val="both"/>
        <w:rPr>
          <w:sz w:val="20"/>
        </w:rPr>
      </w:pPr>
      <w:r>
        <w:rPr>
          <w:color w:val="212121"/>
          <w:sz w:val="20"/>
        </w:rPr>
        <w:t>Plus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d’informations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sur</w:t>
      </w:r>
      <w:r>
        <w:rPr>
          <w:color w:val="212121"/>
          <w:spacing w:val="-2"/>
          <w:sz w:val="20"/>
        </w:rPr>
        <w:t xml:space="preserve"> </w:t>
      </w:r>
      <w:bookmarkStart w:id="0" w:name="_GoBack"/>
      <w:bookmarkEnd w:id="0"/>
      <w:r>
        <w:fldChar w:fldCharType="begin"/>
      </w:r>
      <w:r w:rsidR="007A06B3">
        <w:instrText xml:space="preserve">HYPERLINK "http://www.arkea-banque-ei.com/" \h </w:instrText>
      </w:r>
      <w:r>
        <w:fldChar w:fldCharType="separate"/>
      </w:r>
      <w:r w:rsidR="007A06B3">
        <w:rPr>
          <w:color w:val="0000FF"/>
          <w:sz w:val="20"/>
          <w:u w:val="single" w:color="0000FF"/>
        </w:rPr>
        <w:t>notre site</w:t>
      </w:r>
      <w:r>
        <w:rPr>
          <w:color w:val="0000FF"/>
          <w:sz w:val="20"/>
          <w:u w:val="single" w:color="0000FF"/>
        </w:rPr>
        <w:fldChar w:fldCharType="end"/>
      </w:r>
    </w:p>
    <w:p w:rsidR="00EC3FDA" w:rsidRDefault="00EC3FDA">
      <w:pPr>
        <w:pStyle w:val="Corpsdetexte"/>
        <w:spacing w:before="11"/>
        <w:rPr>
          <w:sz w:val="14"/>
        </w:rPr>
      </w:pPr>
    </w:p>
    <w:p w:rsidR="00EC3FDA" w:rsidRDefault="00EE6450">
      <w:pPr>
        <w:spacing w:before="64" w:line="219" w:lineRule="exact"/>
        <w:ind w:right="217"/>
        <w:jc w:val="right"/>
        <w:rPr>
          <w:b/>
          <w:sz w:val="18"/>
        </w:rPr>
      </w:pPr>
      <w:r>
        <w:rPr>
          <w:b/>
          <w:color w:val="212121"/>
          <w:sz w:val="18"/>
        </w:rPr>
        <w:t>Contact</w:t>
      </w:r>
      <w:r>
        <w:rPr>
          <w:b/>
          <w:color w:val="212121"/>
          <w:spacing w:val="-5"/>
          <w:sz w:val="18"/>
        </w:rPr>
        <w:t xml:space="preserve"> </w:t>
      </w:r>
      <w:r>
        <w:rPr>
          <w:b/>
          <w:color w:val="212121"/>
          <w:sz w:val="18"/>
        </w:rPr>
        <w:t>presse</w:t>
      </w:r>
    </w:p>
    <w:p w:rsidR="00EC3FDA" w:rsidRDefault="00EE6450">
      <w:pPr>
        <w:ind w:left="3305" w:right="217" w:firstLine="4217"/>
        <w:jc w:val="right"/>
        <w:rPr>
          <w:sz w:val="18"/>
        </w:rPr>
      </w:pPr>
      <w:proofErr w:type="spellStart"/>
      <w:r>
        <w:rPr>
          <w:color w:val="212121"/>
          <w:spacing w:val="-1"/>
          <w:sz w:val="18"/>
        </w:rPr>
        <w:t>Kablé</w:t>
      </w:r>
      <w:proofErr w:type="spellEnd"/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Communication</w:t>
      </w:r>
      <w:r>
        <w:rPr>
          <w:color w:val="212121"/>
          <w:spacing w:val="-38"/>
          <w:sz w:val="18"/>
        </w:rPr>
        <w:t xml:space="preserve"> </w:t>
      </w:r>
      <w:r>
        <w:rPr>
          <w:color w:val="212121"/>
          <w:sz w:val="18"/>
        </w:rPr>
        <w:t>Catherine</w:t>
      </w:r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Kablé</w:t>
      </w:r>
      <w:proofErr w:type="spellEnd"/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–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06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82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25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73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85 –</w:t>
      </w:r>
      <w:r>
        <w:rPr>
          <w:color w:val="212121"/>
          <w:spacing w:val="-3"/>
          <w:sz w:val="18"/>
        </w:rPr>
        <w:t xml:space="preserve"> </w:t>
      </w:r>
      <w:hyperlink r:id="rId11">
        <w:r>
          <w:rPr>
            <w:color w:val="0000FF"/>
            <w:sz w:val="18"/>
            <w:u w:val="single" w:color="0000FF"/>
          </w:rPr>
          <w:t>catherine.kable@kable-communication.com</w:t>
        </w:r>
      </w:hyperlink>
    </w:p>
    <w:p w:rsidR="00EC3FDA" w:rsidRDefault="00EE6450">
      <w:pPr>
        <w:spacing w:line="219" w:lineRule="exact"/>
        <w:ind w:right="214"/>
        <w:jc w:val="right"/>
        <w:rPr>
          <w:sz w:val="18"/>
        </w:rPr>
      </w:pPr>
      <w:proofErr w:type="spellStart"/>
      <w:r>
        <w:rPr>
          <w:color w:val="212121"/>
          <w:sz w:val="18"/>
        </w:rPr>
        <w:t>Illy</w:t>
      </w:r>
      <w:proofErr w:type="spellEnd"/>
      <w:r>
        <w:rPr>
          <w:color w:val="212121"/>
          <w:spacing w:val="-2"/>
          <w:sz w:val="18"/>
        </w:rPr>
        <w:t xml:space="preserve"> </w:t>
      </w:r>
      <w:proofErr w:type="spellStart"/>
      <w:r>
        <w:rPr>
          <w:color w:val="212121"/>
          <w:sz w:val="18"/>
        </w:rPr>
        <w:t>Benyoussef</w:t>
      </w:r>
      <w:proofErr w:type="spellEnd"/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–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06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28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09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65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41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–</w:t>
      </w:r>
      <w:r>
        <w:rPr>
          <w:color w:val="212121"/>
          <w:spacing w:val="-2"/>
          <w:sz w:val="18"/>
        </w:rPr>
        <w:t xml:space="preserve"> </w:t>
      </w:r>
      <w:hyperlink r:id="rId12">
        <w:r>
          <w:rPr>
            <w:color w:val="0000FF"/>
            <w:sz w:val="18"/>
            <w:u w:val="single" w:color="0000FF"/>
          </w:rPr>
          <w:t>illy.benyoussef@kable-communication.com</w:t>
        </w:r>
      </w:hyperlink>
    </w:p>
    <w:sectPr w:rsidR="00EC3FDA">
      <w:pgSz w:w="11910" w:h="16840"/>
      <w:pgMar w:top="1380" w:right="1220" w:bottom="1200" w:left="134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50" w:rsidRDefault="00EE6450">
      <w:r>
        <w:separator/>
      </w:r>
    </w:p>
  </w:endnote>
  <w:endnote w:type="continuationSeparator" w:id="0">
    <w:p w:rsidR="00EE6450" w:rsidRDefault="00EE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A" w:rsidRDefault="00EE6450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4.45pt;margin-top:779.8pt;width:13.15pt;height:14.35pt;z-index:-251658752;mso-position-horizontal-relative:page;mso-position-vertical-relative:page" filled="f" stroked="f">
          <v:textbox inset="0,0,0,0">
            <w:txbxContent>
              <w:p w:rsidR="00EC3FDA" w:rsidRDefault="00EE6450">
                <w:pPr>
                  <w:pStyle w:val="Corpsdetexte"/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7A06B3">
                  <w:rPr>
                    <w:rFonts w:ascii="Arial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50" w:rsidRDefault="00EE6450">
      <w:r>
        <w:separator/>
      </w:r>
    </w:p>
  </w:footnote>
  <w:footnote w:type="continuationSeparator" w:id="0">
    <w:p w:rsidR="00EE6450" w:rsidRDefault="00EE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3FDA"/>
    <w:rsid w:val="007A06B3"/>
    <w:rsid w:val="00EC3FDA"/>
    <w:rsid w:val="00E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A06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6B3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A06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6B3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upe-volt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lly.benyoussef@kable-communicati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atherine.kable@kable-communicati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kea-banque-e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.casal@ct-co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Pierrick Morier</dc:creator>
  <cp:lastModifiedBy>MARTIN BENJAMIN</cp:lastModifiedBy>
  <cp:revision>2</cp:revision>
  <dcterms:created xsi:type="dcterms:W3CDTF">2026-03-24T16:40:00Z</dcterms:created>
  <dcterms:modified xsi:type="dcterms:W3CDTF">2026-03-24T16:40:00Z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2026-03-24T00:00:00Z</vt:filetime>
  </property>
</Properties>
</file>