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C2" w:rsidRDefault="004C31D1">
      <w:pPr>
        <w:pStyle w:val="Titre1"/>
        <w:spacing w:before="52"/>
        <w:jc w:val="both"/>
      </w:pPr>
      <w:r>
        <w:rPr>
          <w:color w:val="585858"/>
        </w:rPr>
        <w:t>COMMUNIQUE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PRESSE</w:t>
      </w:r>
    </w:p>
    <w:p w:rsidR="00D03DC2" w:rsidRDefault="004C31D1">
      <w:pPr>
        <w:pStyle w:val="Titre"/>
        <w:spacing w:line="259" w:lineRule="auto"/>
      </w:pPr>
      <w:r>
        <w:rPr>
          <w:color w:val="FF0000"/>
        </w:rPr>
        <w:t>[Étude] Gouvernance des PME-ETI non cotées françaises : une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dynamique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accompagner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matière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durabilité</w:t>
      </w:r>
    </w:p>
    <w:p w:rsidR="00D03DC2" w:rsidRPr="004C31D1" w:rsidRDefault="004C31D1" w:rsidP="004C31D1">
      <w:pPr>
        <w:pStyle w:val="Corpsdetexte"/>
        <w:rPr>
          <w:b/>
        </w:rPr>
      </w:pPr>
      <w:r w:rsidRPr="004C31D1">
        <w:rPr>
          <w:b/>
          <w:i/>
        </w:rPr>
        <w:t>Brest,</w:t>
      </w:r>
      <w:r w:rsidRPr="004C31D1">
        <w:rPr>
          <w:b/>
          <w:i/>
          <w:spacing w:val="-3"/>
        </w:rPr>
        <w:t xml:space="preserve"> </w:t>
      </w:r>
      <w:r w:rsidRPr="004C31D1">
        <w:rPr>
          <w:b/>
          <w:i/>
        </w:rPr>
        <w:t>le</w:t>
      </w:r>
      <w:r w:rsidRPr="004C31D1">
        <w:rPr>
          <w:b/>
          <w:i/>
          <w:spacing w:val="-2"/>
        </w:rPr>
        <w:t xml:space="preserve"> </w:t>
      </w:r>
      <w:r w:rsidRPr="004C31D1">
        <w:rPr>
          <w:b/>
          <w:i/>
        </w:rPr>
        <w:t>18</w:t>
      </w:r>
      <w:r w:rsidRPr="004C31D1">
        <w:rPr>
          <w:b/>
          <w:i/>
          <w:spacing w:val="-2"/>
        </w:rPr>
        <w:t xml:space="preserve"> </w:t>
      </w:r>
      <w:r w:rsidRPr="004C31D1">
        <w:rPr>
          <w:b/>
          <w:i/>
        </w:rPr>
        <w:t>mars</w:t>
      </w:r>
      <w:r w:rsidRPr="004C31D1">
        <w:rPr>
          <w:b/>
          <w:i/>
          <w:spacing w:val="-8"/>
        </w:rPr>
        <w:t xml:space="preserve"> </w:t>
      </w:r>
      <w:r w:rsidRPr="004C31D1">
        <w:rPr>
          <w:b/>
          <w:i/>
        </w:rPr>
        <w:t>2025</w:t>
      </w:r>
      <w:r w:rsidRPr="004C31D1">
        <w:rPr>
          <w:b/>
          <w:i/>
          <w:spacing w:val="-2"/>
        </w:rPr>
        <w:t xml:space="preserve"> </w:t>
      </w:r>
      <w:r w:rsidRPr="004C31D1">
        <w:rPr>
          <w:b/>
        </w:rPr>
        <w:t>-</w:t>
      </w:r>
      <w:r w:rsidRPr="004C31D1">
        <w:rPr>
          <w:b/>
          <w:spacing w:val="-2"/>
        </w:rPr>
        <w:t xml:space="preserve"> </w:t>
      </w:r>
      <w:proofErr w:type="spellStart"/>
      <w:r w:rsidRPr="004C31D1">
        <w:rPr>
          <w:b/>
        </w:rPr>
        <w:t>Arkéa</w:t>
      </w:r>
      <w:proofErr w:type="spellEnd"/>
      <w:r w:rsidRPr="004C31D1">
        <w:rPr>
          <w:b/>
          <w:spacing w:val="-3"/>
        </w:rPr>
        <w:t xml:space="preserve"> </w:t>
      </w:r>
      <w:r w:rsidRPr="004C31D1">
        <w:rPr>
          <w:b/>
        </w:rPr>
        <w:t>Capital</w:t>
      </w:r>
      <w:r w:rsidRPr="004C31D1">
        <w:rPr>
          <w:b/>
          <w:spacing w:val="-2"/>
        </w:rPr>
        <w:t xml:space="preserve"> </w:t>
      </w:r>
      <w:r w:rsidRPr="004C31D1">
        <w:rPr>
          <w:b/>
        </w:rPr>
        <w:t>et</w:t>
      </w:r>
      <w:r w:rsidRPr="004C31D1">
        <w:rPr>
          <w:b/>
          <w:spacing w:val="-2"/>
        </w:rPr>
        <w:t xml:space="preserve"> </w:t>
      </w:r>
      <w:proofErr w:type="spellStart"/>
      <w:r w:rsidRPr="004C31D1">
        <w:rPr>
          <w:b/>
        </w:rPr>
        <w:t>Arkéa</w:t>
      </w:r>
      <w:proofErr w:type="spellEnd"/>
      <w:r w:rsidRPr="004C31D1">
        <w:rPr>
          <w:b/>
          <w:spacing w:val="-3"/>
        </w:rPr>
        <w:t xml:space="preserve"> </w:t>
      </w:r>
      <w:r w:rsidRPr="004C31D1">
        <w:rPr>
          <w:b/>
        </w:rPr>
        <w:t>Banque</w:t>
      </w:r>
      <w:r w:rsidRPr="004C31D1">
        <w:rPr>
          <w:b/>
          <w:spacing w:val="-2"/>
        </w:rPr>
        <w:t xml:space="preserve"> </w:t>
      </w:r>
      <w:r w:rsidRPr="004C31D1">
        <w:rPr>
          <w:b/>
        </w:rPr>
        <w:t>Entreprises</w:t>
      </w:r>
      <w:r w:rsidRPr="004C31D1">
        <w:rPr>
          <w:b/>
          <w:spacing w:val="-2"/>
        </w:rPr>
        <w:t xml:space="preserve"> </w:t>
      </w:r>
      <w:r w:rsidRPr="004C31D1">
        <w:rPr>
          <w:b/>
        </w:rPr>
        <w:t>et</w:t>
      </w:r>
      <w:r w:rsidRPr="004C31D1">
        <w:rPr>
          <w:b/>
          <w:spacing w:val="-3"/>
        </w:rPr>
        <w:t xml:space="preserve"> </w:t>
      </w:r>
      <w:r w:rsidRPr="004C31D1">
        <w:rPr>
          <w:b/>
        </w:rPr>
        <w:t>Institutionnels,</w:t>
      </w:r>
      <w:r w:rsidRPr="004C31D1">
        <w:rPr>
          <w:b/>
          <w:spacing w:val="-2"/>
        </w:rPr>
        <w:t xml:space="preserve"> </w:t>
      </w:r>
      <w:r w:rsidRPr="004C31D1">
        <w:rPr>
          <w:b/>
        </w:rPr>
        <w:t>filiales</w:t>
      </w:r>
      <w:r w:rsidRPr="004C31D1">
        <w:rPr>
          <w:b/>
          <w:spacing w:val="-52"/>
        </w:rPr>
        <w:t xml:space="preserve"> </w:t>
      </w:r>
      <w:r w:rsidRPr="004C31D1">
        <w:rPr>
          <w:b/>
        </w:rPr>
        <w:t xml:space="preserve">du Crédit Mutuel </w:t>
      </w:r>
      <w:proofErr w:type="spellStart"/>
      <w:r w:rsidRPr="004C31D1">
        <w:rPr>
          <w:b/>
        </w:rPr>
        <w:t>Arkéa</w:t>
      </w:r>
      <w:proofErr w:type="spellEnd"/>
      <w:r w:rsidRPr="004C31D1">
        <w:rPr>
          <w:b/>
        </w:rPr>
        <w:t>, publient une étude sur les pratiques de gouvernance des PME et</w:t>
      </w:r>
      <w:r w:rsidRPr="004C31D1">
        <w:rPr>
          <w:b/>
          <w:spacing w:val="1"/>
        </w:rPr>
        <w:t xml:space="preserve"> </w:t>
      </w:r>
      <w:r w:rsidRPr="004C31D1">
        <w:rPr>
          <w:b/>
        </w:rPr>
        <w:t xml:space="preserve">ETI en France. Réalisée en partenariat avec </w:t>
      </w:r>
      <w:proofErr w:type="spellStart"/>
      <w:r w:rsidRPr="004C31D1">
        <w:rPr>
          <w:b/>
        </w:rPr>
        <w:t>EthiFinance</w:t>
      </w:r>
      <w:proofErr w:type="spellEnd"/>
      <w:r w:rsidRPr="004C31D1">
        <w:rPr>
          <w:b/>
        </w:rPr>
        <w:t>, cette analyse met en avant les</w:t>
      </w:r>
      <w:r w:rsidRPr="004C31D1">
        <w:rPr>
          <w:b/>
          <w:spacing w:val="1"/>
        </w:rPr>
        <w:t xml:space="preserve"> </w:t>
      </w:r>
      <w:r w:rsidRPr="004C31D1">
        <w:rPr>
          <w:b/>
        </w:rPr>
        <w:t>bonnes</w:t>
      </w:r>
      <w:r w:rsidRPr="004C31D1">
        <w:rPr>
          <w:b/>
          <w:spacing w:val="-1"/>
        </w:rPr>
        <w:t xml:space="preserve"> </w:t>
      </w:r>
      <w:r w:rsidRPr="004C31D1">
        <w:rPr>
          <w:b/>
        </w:rPr>
        <w:t>pratiques en</w:t>
      </w:r>
      <w:r w:rsidRPr="004C31D1">
        <w:rPr>
          <w:b/>
          <w:spacing w:val="-1"/>
        </w:rPr>
        <w:t xml:space="preserve"> </w:t>
      </w:r>
      <w:r w:rsidRPr="004C31D1">
        <w:rPr>
          <w:b/>
        </w:rPr>
        <w:t>matière de gouvernance</w:t>
      </w:r>
      <w:r w:rsidRPr="004C31D1">
        <w:rPr>
          <w:b/>
          <w:spacing w:val="-1"/>
        </w:rPr>
        <w:t xml:space="preserve"> </w:t>
      </w:r>
      <w:r w:rsidRPr="004C31D1">
        <w:rPr>
          <w:b/>
        </w:rPr>
        <w:t>responsable.</w:t>
      </w:r>
    </w:p>
    <w:p w:rsidR="00D03DC2" w:rsidRDefault="004C31D1">
      <w:pPr>
        <w:pStyle w:val="Corpsdetexte"/>
        <w:spacing w:before="4"/>
        <w:rPr>
          <w:b/>
          <w:sz w:val="16"/>
        </w:rPr>
      </w:pPr>
      <w:r>
        <w:rPr>
          <w:noProof/>
          <w:lang w:eastAsia="fr-FR"/>
        </w:rPr>
        <w:drawing>
          <wp:inline distT="0" distB="0" distL="0" distR="0">
            <wp:extent cx="5248621" cy="4775644"/>
            <wp:effectExtent l="0" t="0" r="0" b="6350"/>
            <wp:docPr id="7" name="image4.jpeg" descr="49% des PME ETI non cotées francaises ont une stratégie RSE formalisée.&#10;50%  des PME ETI non cotées francaises possèdent une ressource interne en charge des enjeux de développement durable.&#10;Pour 61% d'entre elles, cette personne est un membre du comité exécutif.&#10;16% des PME ETI non cotées francaisesdéclarent présenter les risques informatiques aux instances de gouvernance au moins une fois par an.&#10;12%  des PME ETI non cotées francaises réalisent des audits environnementaux ou sociaux de leurs fournisseurs.&#10;Part moyenne des femmes au sein des conseils d'administration ou de surveillance : 20%  des PME ETI non cotées francaises, 38%  des PME ETI cotées francaises,  30% des PME ETI cotées européennes." title="Chiffres c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621" cy="477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DC2" w:rsidRDefault="00D03DC2">
      <w:pPr>
        <w:pStyle w:val="Corpsdetexte"/>
        <w:spacing w:before="11"/>
        <w:rPr>
          <w:b/>
          <w:sz w:val="27"/>
        </w:rPr>
      </w:pPr>
    </w:p>
    <w:p w:rsidR="00D03DC2" w:rsidRDefault="004C31D1">
      <w:pPr>
        <w:spacing w:line="276" w:lineRule="auto"/>
        <w:ind w:left="298" w:right="255"/>
        <w:jc w:val="both"/>
        <w:rPr>
          <w:i/>
          <w:sz w:val="20"/>
        </w:rPr>
      </w:pPr>
      <w:r>
        <w:rPr>
          <w:i/>
          <w:color w:val="585858"/>
          <w:sz w:val="20"/>
        </w:rPr>
        <w:t xml:space="preserve">Les données analysées </w:t>
      </w:r>
      <w:r>
        <w:rPr>
          <w:i/>
          <w:color w:val="585858"/>
          <w:sz w:val="20"/>
        </w:rPr>
        <w:t>portent sur l’exercice 2023. Elles sont issues des campagnes réalisées auprès de 1 578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 xml:space="preserve">PME et ETI. Les données ESG des entreprises non cotées sont issues des campagnes réalisées en 2024 par </w:t>
      </w:r>
      <w:proofErr w:type="spellStart"/>
      <w:r>
        <w:rPr>
          <w:i/>
          <w:color w:val="585858"/>
          <w:sz w:val="20"/>
        </w:rPr>
        <w:t>Arkéa</w:t>
      </w:r>
      <w:proofErr w:type="spellEnd"/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 xml:space="preserve">Banque Entreprises et Institutionnels, </w:t>
      </w:r>
      <w:proofErr w:type="spellStart"/>
      <w:r>
        <w:rPr>
          <w:i/>
          <w:color w:val="585858"/>
          <w:sz w:val="20"/>
        </w:rPr>
        <w:t>Arkéa</w:t>
      </w:r>
      <w:proofErr w:type="spellEnd"/>
      <w:r>
        <w:rPr>
          <w:i/>
          <w:color w:val="585858"/>
          <w:sz w:val="20"/>
        </w:rPr>
        <w:t xml:space="preserve"> Capital et </w:t>
      </w:r>
      <w:proofErr w:type="spellStart"/>
      <w:r>
        <w:rPr>
          <w:i/>
          <w:color w:val="585858"/>
          <w:sz w:val="20"/>
        </w:rPr>
        <w:t>EthiFinance</w:t>
      </w:r>
      <w:proofErr w:type="spellEnd"/>
      <w:r>
        <w:rPr>
          <w:i/>
          <w:color w:val="585858"/>
          <w:sz w:val="20"/>
        </w:rPr>
        <w:t xml:space="preserve"> au travers de sa plateforme de services,</w:t>
      </w:r>
      <w:r>
        <w:rPr>
          <w:i/>
          <w:color w:val="585858"/>
          <w:spacing w:val="1"/>
          <w:sz w:val="20"/>
        </w:rPr>
        <w:t xml:space="preserve"> </w:t>
      </w:r>
      <w:proofErr w:type="spellStart"/>
      <w:r>
        <w:rPr>
          <w:i/>
          <w:color w:val="585858"/>
          <w:sz w:val="20"/>
        </w:rPr>
        <w:t>Onetrack</w:t>
      </w:r>
      <w:proofErr w:type="spellEnd"/>
      <w:r>
        <w:rPr>
          <w:i/>
          <w:color w:val="585858"/>
          <w:sz w:val="20"/>
        </w:rPr>
        <w:t>,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dédiée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au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marché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des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actifs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privés. Les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données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ESG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des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entreprises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cotées sont issues de la</w:t>
      </w:r>
      <w:r>
        <w:rPr>
          <w:i/>
          <w:color w:val="585858"/>
          <w:spacing w:val="1"/>
          <w:sz w:val="20"/>
        </w:rPr>
        <w:t xml:space="preserve"> </w:t>
      </w:r>
      <w:r>
        <w:rPr>
          <w:i/>
          <w:color w:val="585858"/>
          <w:sz w:val="20"/>
        </w:rPr>
        <w:t>campagne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réalisée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en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2024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par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l’agence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de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no</w:t>
      </w:r>
      <w:r>
        <w:rPr>
          <w:i/>
          <w:color w:val="585858"/>
          <w:sz w:val="20"/>
        </w:rPr>
        <w:t>tation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extra-financière</w:t>
      </w:r>
      <w:r>
        <w:rPr>
          <w:i/>
          <w:color w:val="585858"/>
          <w:spacing w:val="-3"/>
          <w:sz w:val="20"/>
        </w:rPr>
        <w:t xml:space="preserve"> </w:t>
      </w:r>
      <w:proofErr w:type="spellStart"/>
      <w:r>
        <w:rPr>
          <w:i/>
          <w:color w:val="585858"/>
          <w:sz w:val="20"/>
        </w:rPr>
        <w:t>EthiFinance</w:t>
      </w:r>
      <w:proofErr w:type="spellEnd"/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ESG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Rating.</w:t>
      </w:r>
    </w:p>
    <w:p w:rsidR="00D03DC2" w:rsidRDefault="00D03DC2">
      <w:pPr>
        <w:spacing w:line="276" w:lineRule="auto"/>
        <w:jc w:val="both"/>
        <w:rPr>
          <w:sz w:val="20"/>
        </w:rPr>
        <w:sectPr w:rsidR="00D03DC2">
          <w:type w:val="continuous"/>
          <w:pgSz w:w="11920" w:h="16840"/>
          <w:pgMar w:top="1240" w:right="1180" w:bottom="280" w:left="1120" w:header="720" w:footer="720" w:gutter="0"/>
          <w:cols w:space="720"/>
        </w:sectPr>
      </w:pPr>
    </w:p>
    <w:p w:rsidR="00D03DC2" w:rsidRDefault="004C31D1" w:rsidP="004C31D1">
      <w:pPr>
        <w:pStyle w:val="Titre1"/>
      </w:pPr>
      <w:r>
        <w:lastRenderedPageBreak/>
        <w:t>Des avancées à poursuivre pour les PME-ETI non cotées dans la formalisation de politiques</w:t>
      </w:r>
      <w:r>
        <w:rPr>
          <w:spacing w:val="-52"/>
        </w:rPr>
        <w:t xml:space="preserve"> </w:t>
      </w:r>
      <w:r>
        <w:t>RSE</w:t>
      </w:r>
    </w:p>
    <w:p w:rsidR="00D03DC2" w:rsidRDefault="00D03DC2" w:rsidP="004C31D1">
      <w:pPr>
        <w:pStyle w:val="Titre1"/>
      </w:pPr>
    </w:p>
    <w:p w:rsidR="00D03DC2" w:rsidRDefault="004C31D1">
      <w:pPr>
        <w:pStyle w:val="Corpsdetexte"/>
        <w:spacing w:line="276" w:lineRule="auto"/>
        <w:ind w:left="298" w:right="251"/>
        <w:jc w:val="both"/>
      </w:pPr>
      <w:r>
        <w:rPr>
          <w:color w:val="585858"/>
        </w:rPr>
        <w:t xml:space="preserve">Alors que les premiers </w:t>
      </w:r>
      <w:proofErr w:type="spellStart"/>
      <w:r>
        <w:rPr>
          <w:color w:val="585858"/>
        </w:rPr>
        <w:t>reportings</w:t>
      </w:r>
      <w:proofErr w:type="spellEnd"/>
      <w:r>
        <w:rPr>
          <w:color w:val="585858"/>
        </w:rPr>
        <w:t xml:space="preserve"> de durabilité des grandes entreprises viennent d’être publiés s</w:t>
      </w:r>
      <w:r>
        <w:rPr>
          <w:color w:val="585858"/>
        </w:rPr>
        <w:t>elon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les exigences de la CSRD, cette étude révèle que les PME-ETI non cotées se sont </w:t>
      </w:r>
      <w:proofErr w:type="gramStart"/>
      <w:r>
        <w:rPr>
          <w:color w:val="585858"/>
        </w:rPr>
        <w:t>saisies</w:t>
      </w:r>
      <w:proofErr w:type="gramEnd"/>
      <w:r>
        <w:rPr>
          <w:color w:val="585858"/>
        </w:rPr>
        <w:t xml:space="preserve"> des enjeux de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durabilité bien que leur démarche n’est pas toujours formalisée. En effet, elles sont 49% à avoir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déterminé une stratégie RSE contre 65% pour leurs h</w:t>
      </w:r>
      <w:r>
        <w:rPr>
          <w:color w:val="585858"/>
        </w:rPr>
        <w:t>omologues cotées. Elles sont également 50% à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avoir confié la définition, la mise en </w:t>
      </w:r>
      <w:r>
        <w:rPr>
          <w:rFonts w:ascii="Arial" w:hAnsi="Arial"/>
          <w:color w:val="585858"/>
        </w:rPr>
        <w:t>œ</w:t>
      </w:r>
      <w:r>
        <w:rPr>
          <w:color w:val="585858"/>
        </w:rPr>
        <w:t>uvre et le suivi de leur stratégie RSE à un collaborateur dédié ;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 dernier est dans 61% des cas membre du comité exécutif, ce qui témoigne de la volonté de placer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enjeux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durabilité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</w:t>
      </w:r>
      <w:r>
        <w:rPr>
          <w:rFonts w:ascii="Arial" w:hAnsi="Arial"/>
          <w:color w:val="585858"/>
        </w:rPr>
        <w:t>œ</w:t>
      </w:r>
      <w:r>
        <w:rPr>
          <w:color w:val="585858"/>
        </w:rPr>
        <w:t>ur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gouvernance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stratégie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d’entreprise.</w:t>
      </w:r>
    </w:p>
    <w:p w:rsidR="00D03DC2" w:rsidRDefault="00D03DC2">
      <w:pPr>
        <w:pStyle w:val="Corpsdetexte"/>
        <w:spacing w:before="3"/>
        <w:rPr>
          <w:sz w:val="25"/>
        </w:rPr>
      </w:pPr>
    </w:p>
    <w:p w:rsidR="00D03DC2" w:rsidRDefault="004C31D1">
      <w:pPr>
        <w:pStyle w:val="Corpsdetexte"/>
        <w:spacing w:line="276" w:lineRule="auto"/>
        <w:ind w:left="298" w:right="254"/>
        <w:jc w:val="both"/>
      </w:pPr>
      <w:r>
        <w:rPr>
          <w:color w:val="585858"/>
        </w:rPr>
        <w:t>Cette dynamique doit toutefois se consolider, notamment dans les politiques d’approvisionnement,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où 34 % des PME-ETI non cotées ont mis en place une politique d’achats responsables, contre 87 %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 entreprises cotées françaises et 70 % des PME-ETI cotées européennes. La collecte de données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environnementales et sociales auprès de leurs fournisseurs est</w:t>
      </w:r>
      <w:r>
        <w:rPr>
          <w:color w:val="585858"/>
        </w:rPr>
        <w:t xml:space="preserve"> encore peu répandue. En effet, 12 %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PME-ETI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seulement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réalisent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audits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environnementaux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ou sociaux de leurs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fournisseurs.</w:t>
      </w:r>
    </w:p>
    <w:p w:rsidR="00D03DC2" w:rsidRDefault="00D03DC2">
      <w:pPr>
        <w:pStyle w:val="Corpsdetexte"/>
        <w:spacing w:before="1"/>
      </w:pPr>
    </w:p>
    <w:p w:rsidR="00D03DC2" w:rsidRPr="004C31D1" w:rsidRDefault="004C31D1" w:rsidP="004C31D1">
      <w:pPr>
        <w:pStyle w:val="Titre1"/>
      </w:pPr>
      <w:r w:rsidRPr="004C31D1">
        <w:t>Un</w:t>
      </w:r>
      <w:r w:rsidRPr="004C31D1">
        <w:t xml:space="preserve"> </w:t>
      </w:r>
      <w:r w:rsidRPr="004C31D1">
        <w:t>cadre</w:t>
      </w:r>
      <w:r w:rsidRPr="004C31D1">
        <w:t xml:space="preserve"> </w:t>
      </w:r>
      <w:r w:rsidRPr="004C31D1">
        <w:t>réglementaire</w:t>
      </w:r>
      <w:r w:rsidRPr="004C31D1">
        <w:t xml:space="preserve"> </w:t>
      </w:r>
      <w:r w:rsidRPr="004C31D1">
        <w:t>français</w:t>
      </w:r>
      <w:r w:rsidRPr="004C31D1">
        <w:t xml:space="preserve"> </w:t>
      </w:r>
      <w:r w:rsidRPr="004C31D1">
        <w:t>favorisant</w:t>
      </w:r>
      <w:r w:rsidRPr="004C31D1">
        <w:t xml:space="preserve"> </w:t>
      </w:r>
      <w:r w:rsidRPr="004C31D1">
        <w:t>la</w:t>
      </w:r>
      <w:r w:rsidRPr="004C31D1">
        <w:t xml:space="preserve"> </w:t>
      </w:r>
      <w:r w:rsidRPr="004C31D1">
        <w:t>parité</w:t>
      </w:r>
    </w:p>
    <w:p w:rsidR="00D03DC2" w:rsidRDefault="00D03DC2">
      <w:pPr>
        <w:pStyle w:val="Corpsdetexte"/>
        <w:spacing w:before="11"/>
        <w:rPr>
          <w:b/>
          <w:sz w:val="23"/>
        </w:rPr>
      </w:pPr>
    </w:p>
    <w:p w:rsidR="00D03DC2" w:rsidRDefault="004C31D1">
      <w:pPr>
        <w:pStyle w:val="Corpsdetexte"/>
        <w:spacing w:before="1" w:line="259" w:lineRule="auto"/>
        <w:ind w:left="298" w:right="251"/>
        <w:jc w:val="both"/>
      </w:pPr>
      <w:r>
        <w:rPr>
          <w:color w:val="585858"/>
        </w:rPr>
        <w:t>L’étude met également en évidence les effets positifs de la démarche volontariste du législateur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français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faveur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féminisation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instances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gouvernance notamment pour certaines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entreprises cotées. Les conseils d’administration et de surveillanc</w:t>
      </w:r>
      <w:r>
        <w:rPr>
          <w:color w:val="585858"/>
        </w:rPr>
        <w:t>e des PME-ETI cotées en France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comptent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en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moyenne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38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femmes,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contre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pour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entreprises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non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françaises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30</w:t>
      </w:r>
    </w:p>
    <w:p w:rsidR="00D03DC2" w:rsidRDefault="004C31D1">
      <w:pPr>
        <w:pStyle w:val="Corpsdetexte"/>
        <w:spacing w:line="268" w:lineRule="exact"/>
        <w:ind w:left="298"/>
        <w:jc w:val="both"/>
      </w:pPr>
      <w:r>
        <w:rPr>
          <w:color w:val="585858"/>
        </w:rPr>
        <w:t>%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pour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européennes.</w:t>
      </w:r>
    </w:p>
    <w:p w:rsidR="00D03DC2" w:rsidRDefault="00D03DC2">
      <w:pPr>
        <w:pStyle w:val="Corpsdetexte"/>
        <w:spacing w:before="5"/>
        <w:rPr>
          <w:sz w:val="25"/>
        </w:rPr>
      </w:pPr>
    </w:p>
    <w:p w:rsidR="00D03DC2" w:rsidRDefault="004C31D1">
      <w:pPr>
        <w:pStyle w:val="Corpsdetexte"/>
        <w:spacing w:before="1" w:line="259" w:lineRule="auto"/>
        <w:ind w:left="298" w:right="259"/>
        <w:jc w:val="both"/>
      </w:pPr>
      <w:r>
        <w:rPr>
          <w:color w:val="585858"/>
        </w:rPr>
        <w:t>L’analyse plus fine de ces données permet de mettre en évidence un contraste saisissant. En effet,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seulement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PME-ETI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affichent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taux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féminisation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conseils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d'administration compris entre 40 et 60 % alors que leurs homologues fra</w:t>
      </w:r>
      <w:r>
        <w:rPr>
          <w:color w:val="585858"/>
        </w:rPr>
        <w:t>nçaises cotées affichent un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taux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62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contre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pour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PME-ETI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européennes.</w:t>
      </w:r>
    </w:p>
    <w:p w:rsidR="00D03DC2" w:rsidRDefault="00D03DC2">
      <w:pPr>
        <w:pStyle w:val="Corpsdetexte"/>
        <w:spacing w:before="8"/>
        <w:rPr>
          <w:sz w:val="23"/>
        </w:rPr>
      </w:pPr>
    </w:p>
    <w:p w:rsidR="00D03DC2" w:rsidRDefault="004C31D1">
      <w:pPr>
        <w:spacing w:line="259" w:lineRule="auto"/>
        <w:ind w:left="298" w:right="255"/>
        <w:jc w:val="both"/>
      </w:pPr>
      <w:r>
        <w:rPr>
          <w:color w:val="585858"/>
        </w:rPr>
        <w:t>Cette tendance se reflète également dans la faible représentation des femmes au sein des comités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exécutifs ou de direction où </w:t>
      </w:r>
      <w:r>
        <w:rPr>
          <w:b/>
          <w:color w:val="585858"/>
        </w:rPr>
        <w:t>seules 14 % des PME-ETI non cotées fran</w:t>
      </w:r>
      <w:r>
        <w:rPr>
          <w:b/>
          <w:color w:val="585858"/>
        </w:rPr>
        <w:t>çaises affichent un taux de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féminisation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de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ces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instances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compris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entre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40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et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60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%</w:t>
      </w:r>
      <w:r>
        <w:rPr>
          <w:color w:val="585858"/>
        </w:rPr>
        <w:t>.</w:t>
      </w:r>
    </w:p>
    <w:p w:rsidR="00D03DC2" w:rsidRDefault="00D03DC2">
      <w:pPr>
        <w:pStyle w:val="Corpsdetexte"/>
        <w:spacing w:before="8"/>
        <w:rPr>
          <w:sz w:val="23"/>
        </w:rPr>
      </w:pPr>
    </w:p>
    <w:p w:rsidR="00D03DC2" w:rsidRPr="004C31D1" w:rsidRDefault="004C31D1" w:rsidP="004C31D1">
      <w:pPr>
        <w:pStyle w:val="Titre1"/>
      </w:pPr>
      <w:r w:rsidRPr="004C31D1">
        <w:t>Les</w:t>
      </w:r>
      <w:r w:rsidRPr="004C31D1">
        <w:t xml:space="preserve"> </w:t>
      </w:r>
      <w:r w:rsidRPr="004C31D1">
        <w:t>normes</w:t>
      </w:r>
      <w:r w:rsidRPr="004C31D1">
        <w:t xml:space="preserve"> </w:t>
      </w:r>
      <w:r w:rsidRPr="004C31D1">
        <w:t>ISO</w:t>
      </w:r>
      <w:r w:rsidRPr="004C31D1">
        <w:t xml:space="preserve"> </w:t>
      </w:r>
      <w:r w:rsidRPr="004C31D1">
        <w:t>sont</w:t>
      </w:r>
      <w:r w:rsidRPr="004C31D1">
        <w:t xml:space="preserve"> </w:t>
      </w:r>
      <w:r w:rsidRPr="004C31D1">
        <w:t>privilégiées</w:t>
      </w:r>
      <w:r w:rsidRPr="004C31D1">
        <w:t xml:space="preserve"> </w:t>
      </w:r>
      <w:r w:rsidRPr="004C31D1">
        <w:t>par</w:t>
      </w:r>
      <w:r w:rsidRPr="004C31D1">
        <w:t xml:space="preserve"> </w:t>
      </w:r>
      <w:r w:rsidRPr="004C31D1">
        <w:t>rapport</w:t>
      </w:r>
      <w:r w:rsidRPr="004C31D1">
        <w:t xml:space="preserve"> </w:t>
      </w:r>
      <w:r w:rsidRPr="004C31D1">
        <w:t>aux</w:t>
      </w:r>
      <w:r w:rsidRPr="004C31D1">
        <w:t xml:space="preserve"> </w:t>
      </w:r>
      <w:r w:rsidRPr="004C31D1">
        <w:t>labels</w:t>
      </w:r>
    </w:p>
    <w:p w:rsidR="00D03DC2" w:rsidRDefault="00D03DC2">
      <w:pPr>
        <w:pStyle w:val="Corpsdetexte"/>
        <w:spacing w:before="8"/>
        <w:rPr>
          <w:b/>
          <w:sz w:val="25"/>
        </w:rPr>
      </w:pPr>
    </w:p>
    <w:p w:rsidR="00D03DC2" w:rsidRDefault="004C31D1">
      <w:pPr>
        <w:pStyle w:val="Corpsdetexte"/>
        <w:spacing w:line="276" w:lineRule="auto"/>
        <w:ind w:left="298" w:right="252"/>
        <w:jc w:val="both"/>
      </w:pPr>
      <w:r>
        <w:rPr>
          <w:color w:val="585858"/>
        </w:rPr>
        <w:t>Dans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sillage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grands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groupes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concernés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par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CSRD,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PME-ETI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françaises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devraient bénéficier d’un effet d’entraînement et accélérer la structuration de leur démarche RSE.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Parmi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les leviers à disposition, les normes ISO sont préférées aux labels.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Aujourd’hui, </w:t>
      </w:r>
      <w:r>
        <w:rPr>
          <w:b/>
          <w:color w:val="585858"/>
        </w:rPr>
        <w:t>40% des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 xml:space="preserve">PME-ETI non cotées ont mis en place un système de management </w:t>
      </w:r>
      <w:r>
        <w:rPr>
          <w:b/>
          <w:color w:val="585858"/>
        </w:rPr>
        <w:t xml:space="preserve">certifié </w:t>
      </w:r>
      <w:r>
        <w:rPr>
          <w:color w:val="585858"/>
        </w:rPr>
        <w:t>(Qualité, Santé, Sécurité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 Travail ou Environnement), contre 50 % pour les PME cotées françaises et 56 % pour les cotées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européennes.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Seulement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PME-ETI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cotées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françaises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déclarent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détenir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label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RSE.</w:t>
      </w:r>
    </w:p>
    <w:p w:rsidR="00D03DC2" w:rsidRDefault="00D03DC2">
      <w:pPr>
        <w:pStyle w:val="Corpsdetexte"/>
        <w:spacing w:before="11"/>
        <w:rPr>
          <w:sz w:val="25"/>
        </w:rPr>
      </w:pPr>
    </w:p>
    <w:p w:rsidR="00D03DC2" w:rsidRPr="004C31D1" w:rsidRDefault="004C31D1" w:rsidP="004C31D1">
      <w:pPr>
        <w:pStyle w:val="Titre1"/>
      </w:pPr>
      <w:r w:rsidRPr="004C31D1">
        <w:t>La</w:t>
      </w:r>
      <w:r w:rsidRPr="004C31D1">
        <w:t xml:space="preserve"> </w:t>
      </w:r>
      <w:proofErr w:type="spellStart"/>
      <w:r w:rsidRPr="004C31D1">
        <w:t>cybersécurité</w:t>
      </w:r>
      <w:proofErr w:type="spellEnd"/>
      <w:r w:rsidRPr="004C31D1">
        <w:t xml:space="preserve"> </w:t>
      </w:r>
      <w:r w:rsidRPr="004C31D1">
        <w:t>et</w:t>
      </w:r>
      <w:r w:rsidRPr="004C31D1">
        <w:t xml:space="preserve"> </w:t>
      </w:r>
      <w:r w:rsidRPr="004C31D1">
        <w:t>les</w:t>
      </w:r>
      <w:r w:rsidRPr="004C31D1">
        <w:t xml:space="preserve"> </w:t>
      </w:r>
      <w:r w:rsidRPr="004C31D1">
        <w:t>dispos</w:t>
      </w:r>
      <w:r w:rsidRPr="004C31D1">
        <w:t>itifs</w:t>
      </w:r>
      <w:r w:rsidRPr="004C31D1">
        <w:t xml:space="preserve"> </w:t>
      </w:r>
      <w:r w:rsidRPr="004C31D1">
        <w:t>anti-corruption</w:t>
      </w:r>
      <w:r w:rsidRPr="004C31D1">
        <w:t xml:space="preserve"> </w:t>
      </w:r>
      <w:r w:rsidRPr="004C31D1">
        <w:t>à</w:t>
      </w:r>
      <w:r w:rsidRPr="004C31D1">
        <w:t xml:space="preserve"> </w:t>
      </w:r>
      <w:r w:rsidRPr="004C31D1">
        <w:t>renforcer</w:t>
      </w:r>
    </w:p>
    <w:p w:rsidR="00D03DC2" w:rsidRDefault="00D03DC2">
      <w:pPr>
        <w:pStyle w:val="Corpsdetexte"/>
        <w:spacing w:before="8"/>
        <w:rPr>
          <w:b/>
          <w:sz w:val="25"/>
        </w:rPr>
      </w:pPr>
    </w:p>
    <w:p w:rsidR="00D03DC2" w:rsidRDefault="004C31D1">
      <w:pPr>
        <w:spacing w:line="276" w:lineRule="auto"/>
        <w:ind w:left="298" w:right="262"/>
        <w:jc w:val="both"/>
      </w:pPr>
      <w:r>
        <w:rPr>
          <w:color w:val="585858"/>
        </w:rPr>
        <w:t>Bien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que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58%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PME-ETI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non cotées françaises aient formalisé une politique de sécurité des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systèmes d’information, </w:t>
      </w:r>
      <w:r>
        <w:rPr>
          <w:b/>
          <w:color w:val="585858"/>
        </w:rPr>
        <w:t xml:space="preserve">seulement 37% ont réalisé des tests d’intrusion sur leurs systèmes, </w:t>
      </w:r>
      <w:r>
        <w:rPr>
          <w:color w:val="585858"/>
        </w:rPr>
        <w:t>cela,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malgré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l’intensification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cyberattaques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visant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structures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toutes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tailles.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L’étude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relève</w:t>
      </w:r>
    </w:p>
    <w:p w:rsidR="00D03DC2" w:rsidRDefault="00D03DC2">
      <w:pPr>
        <w:spacing w:line="276" w:lineRule="auto"/>
        <w:jc w:val="both"/>
        <w:sectPr w:rsidR="00D03DC2">
          <w:pgSz w:w="11920" w:h="16840"/>
          <w:pgMar w:top="1100" w:right="1180" w:bottom="280" w:left="1120" w:header="720" w:footer="720" w:gutter="0"/>
          <w:cols w:space="720"/>
        </w:sectPr>
      </w:pPr>
    </w:p>
    <w:p w:rsidR="00D03DC2" w:rsidRDefault="004C31D1">
      <w:pPr>
        <w:pStyle w:val="Corpsdetexte"/>
        <w:spacing w:before="38" w:line="276" w:lineRule="auto"/>
        <w:ind w:left="298" w:right="263"/>
        <w:jc w:val="both"/>
      </w:pPr>
      <w:proofErr w:type="gramStart"/>
      <w:r>
        <w:rPr>
          <w:color w:val="585858"/>
        </w:rPr>
        <w:lastRenderedPageBreak/>
        <w:t>également</w:t>
      </w:r>
      <w:proofErr w:type="gramEnd"/>
      <w:r>
        <w:rPr>
          <w:color w:val="585858"/>
        </w:rPr>
        <w:t xml:space="preserve"> d’autres failles au sein de ces organisations : seulement 10 % des PME-ETI non cotées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françaises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mettent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dispositifs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anti-corruption.</w:t>
      </w:r>
    </w:p>
    <w:p w:rsidR="00D03DC2" w:rsidRDefault="00D03DC2">
      <w:pPr>
        <w:pStyle w:val="Corpsdetexte"/>
        <w:spacing w:before="9"/>
        <w:rPr>
          <w:sz w:val="23"/>
        </w:rPr>
      </w:pPr>
    </w:p>
    <w:p w:rsidR="00D03DC2" w:rsidRPr="004C31D1" w:rsidRDefault="004C31D1" w:rsidP="004C31D1">
      <w:pPr>
        <w:pStyle w:val="Titre1"/>
      </w:pPr>
      <w:r w:rsidRPr="004C31D1">
        <w:t>Conclusion</w:t>
      </w:r>
    </w:p>
    <w:p w:rsidR="00D03DC2" w:rsidRDefault="00D03DC2">
      <w:pPr>
        <w:pStyle w:val="Corpsdetexte"/>
        <w:spacing w:before="6"/>
        <w:rPr>
          <w:b/>
          <w:sz w:val="29"/>
        </w:rPr>
      </w:pPr>
    </w:p>
    <w:p w:rsidR="00D03DC2" w:rsidRDefault="004C31D1">
      <w:pPr>
        <w:pStyle w:val="Paragraphedeliste"/>
        <w:numPr>
          <w:ilvl w:val="0"/>
          <w:numId w:val="1"/>
        </w:numPr>
        <w:tabs>
          <w:tab w:val="left" w:pos="1018"/>
        </w:tabs>
        <w:spacing w:line="276" w:lineRule="auto"/>
        <w:jc w:val="both"/>
        <w:rPr>
          <w:rFonts w:ascii="Arial" w:hAnsi="Arial"/>
          <w:color w:val="585858"/>
        </w:rPr>
      </w:pPr>
      <w:r>
        <w:rPr>
          <w:color w:val="585858"/>
        </w:rPr>
        <w:t>Face à l’urgence climatique et à la montée des inégalités sociales, il est essentiel que les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entreprises, quelle que soit leur taille, adoptent une gouvernance responsable pour intégrer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les enjeux de durabilité à leur stratégie et à leur modèle d’affaires.</w:t>
      </w:r>
      <w:r>
        <w:rPr>
          <w:color w:val="585858"/>
        </w:rPr>
        <w:t xml:space="preserve"> Les vertus de l’adoption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sont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nombreuses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:</w:t>
      </w:r>
    </w:p>
    <w:p w:rsidR="00D03DC2" w:rsidRDefault="004C31D1">
      <w:pPr>
        <w:pStyle w:val="Paragraphedeliste"/>
        <w:numPr>
          <w:ilvl w:val="1"/>
          <w:numId w:val="1"/>
        </w:numPr>
        <w:tabs>
          <w:tab w:val="left" w:pos="1438"/>
        </w:tabs>
        <w:spacing w:line="280" w:lineRule="auto"/>
        <w:ind w:right="264"/>
      </w:pPr>
      <w:r>
        <w:rPr>
          <w:color w:val="585858"/>
        </w:rPr>
        <w:t>identifier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anticiper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les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risques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environnementaux,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sociaux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gouvernance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(ESG)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à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court,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moyen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long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terme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;</w:t>
      </w:r>
    </w:p>
    <w:p w:rsidR="00D03DC2" w:rsidRDefault="004C31D1">
      <w:pPr>
        <w:pStyle w:val="Paragraphedeliste"/>
        <w:numPr>
          <w:ilvl w:val="1"/>
          <w:numId w:val="1"/>
        </w:numPr>
        <w:tabs>
          <w:tab w:val="left" w:pos="1438"/>
        </w:tabs>
        <w:spacing w:line="280" w:lineRule="auto"/>
        <w:ind w:right="257"/>
      </w:pPr>
      <w:r>
        <w:rPr>
          <w:color w:val="585858"/>
        </w:rPr>
        <w:t>distinguer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nouvelles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opportunités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favorisant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l’innovation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nouvelles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perspectives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croissance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;</w:t>
      </w:r>
    </w:p>
    <w:p w:rsidR="00D03DC2" w:rsidRDefault="004C31D1">
      <w:pPr>
        <w:pStyle w:val="Paragraphedeliste"/>
        <w:numPr>
          <w:ilvl w:val="1"/>
          <w:numId w:val="1"/>
        </w:numPr>
        <w:tabs>
          <w:tab w:val="left" w:pos="1438"/>
        </w:tabs>
        <w:spacing w:line="280" w:lineRule="auto"/>
      </w:pPr>
      <w:r>
        <w:rPr>
          <w:color w:val="585858"/>
        </w:rPr>
        <w:t>se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conformer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aux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réglementations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en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vigueur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à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venir,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afin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d’éviter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sanctions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amendes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;</w:t>
      </w:r>
    </w:p>
    <w:p w:rsidR="00D03DC2" w:rsidRDefault="004C31D1">
      <w:pPr>
        <w:pStyle w:val="Paragraphedeliste"/>
        <w:numPr>
          <w:ilvl w:val="1"/>
          <w:numId w:val="1"/>
        </w:numPr>
        <w:tabs>
          <w:tab w:val="left" w:pos="1438"/>
        </w:tabs>
        <w:spacing w:line="271" w:lineRule="exact"/>
        <w:ind w:right="0"/>
      </w:pPr>
      <w:r>
        <w:rPr>
          <w:color w:val="585858"/>
        </w:rPr>
        <w:t>protéger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leur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réputation,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sécuriser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leurs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financements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renforcer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leur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compétitivité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;</w:t>
      </w:r>
    </w:p>
    <w:p w:rsidR="00D03DC2" w:rsidRDefault="004C31D1">
      <w:pPr>
        <w:pStyle w:val="Paragraphedeliste"/>
        <w:numPr>
          <w:ilvl w:val="1"/>
          <w:numId w:val="1"/>
        </w:numPr>
        <w:tabs>
          <w:tab w:val="left" w:pos="1438"/>
        </w:tabs>
        <w:spacing w:before="36" w:line="280" w:lineRule="auto"/>
        <w:ind w:right="262"/>
      </w:pPr>
      <w:r>
        <w:rPr>
          <w:color w:val="585858"/>
        </w:rPr>
        <w:t>répondre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aux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attentes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croissantes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parties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prenantes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internes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et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externes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concernant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prise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compte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enjeux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extra-financiers.</w:t>
      </w:r>
    </w:p>
    <w:p w:rsidR="00D03DC2" w:rsidRDefault="00D03DC2">
      <w:pPr>
        <w:pStyle w:val="Corpsdetexte"/>
        <w:spacing w:before="11"/>
        <w:rPr>
          <w:sz w:val="24"/>
        </w:rPr>
      </w:pPr>
    </w:p>
    <w:p w:rsidR="00D03DC2" w:rsidRDefault="004C31D1">
      <w:pPr>
        <w:pStyle w:val="Paragraphedeliste"/>
        <w:numPr>
          <w:ilvl w:val="0"/>
          <w:numId w:val="1"/>
        </w:numPr>
        <w:tabs>
          <w:tab w:val="left" w:pos="1018"/>
        </w:tabs>
        <w:spacing w:line="276" w:lineRule="auto"/>
        <w:ind w:right="252"/>
        <w:jc w:val="both"/>
        <w:rPr>
          <w:rFonts w:ascii="Arial" w:hAnsi="Arial"/>
          <w:color w:val="585858"/>
        </w:rPr>
      </w:pPr>
      <w:r>
        <w:rPr>
          <w:color w:val="585858"/>
        </w:rPr>
        <w:t>L’étude souligne l’engagement des PME-ETI françaises non cotées en matière de durabilité,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une démarche souvent sous-estimée en raison d’un manque de formalisation. Cependant,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leur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avancée reste encore inférieure à celle de leurs homologues cotés en France et 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Europe.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Cette disparité s’explique probablement par l’influence de la réglementation, un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engagement actionnarial plus fort et une pression accrue des parties prenantes p</w:t>
      </w:r>
      <w:r>
        <w:rPr>
          <w:color w:val="585858"/>
        </w:rPr>
        <w:t>our les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entreprises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cotées.</w:t>
      </w:r>
    </w:p>
    <w:p w:rsidR="00D03DC2" w:rsidRDefault="00D03DC2">
      <w:pPr>
        <w:pStyle w:val="Corpsdetexte"/>
        <w:spacing w:before="3"/>
        <w:rPr>
          <w:sz w:val="25"/>
        </w:rPr>
      </w:pPr>
    </w:p>
    <w:p w:rsidR="00D03DC2" w:rsidRDefault="004C31D1">
      <w:pPr>
        <w:pStyle w:val="Paragraphedeliste"/>
        <w:numPr>
          <w:ilvl w:val="0"/>
          <w:numId w:val="1"/>
        </w:numPr>
        <w:tabs>
          <w:tab w:val="left" w:pos="1018"/>
        </w:tabs>
        <w:spacing w:line="276" w:lineRule="auto"/>
        <w:ind w:right="253"/>
        <w:jc w:val="both"/>
        <w:rPr>
          <w:rFonts w:ascii="Arial" w:hAnsi="Arial"/>
        </w:rPr>
      </w:pPr>
      <w:r>
        <w:rPr>
          <w:color w:val="525252"/>
        </w:rPr>
        <w:t>La transition des PME-ETI vers des modèles plus durables nécessite un accompagnement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renforcé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des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acteurs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financiers à chaque étape de leur développement. Les mesures de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durabilité constituent un levier de création de valeur, t</w:t>
      </w:r>
      <w:r>
        <w:rPr>
          <w:color w:val="525252"/>
        </w:rPr>
        <w:t>ant financière qu’extra-financière,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appelant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à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une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collaboration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étroite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avec les partenaires financiers, capables d’apporter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expertise et ressources complémentaires. Pour réussir cette transition, un effort collectif est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indispensable : chaque acteur doit prendre ses responsabilités en matière de sensibilisation,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de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formation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continue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et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d’accompagnement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stratégique.</w:t>
      </w:r>
    </w:p>
    <w:p w:rsidR="00D03DC2" w:rsidRDefault="00D03DC2">
      <w:pPr>
        <w:pStyle w:val="Corpsdetexte"/>
        <w:spacing w:before="9"/>
        <w:rPr>
          <w:sz w:val="23"/>
        </w:rPr>
      </w:pPr>
    </w:p>
    <w:p w:rsidR="00D03DC2" w:rsidRDefault="004C31D1">
      <w:pPr>
        <w:pStyle w:val="Paragraphedeliste"/>
        <w:numPr>
          <w:ilvl w:val="0"/>
          <w:numId w:val="1"/>
        </w:numPr>
        <w:tabs>
          <w:tab w:val="left" w:pos="1018"/>
        </w:tabs>
        <w:spacing w:before="1" w:line="276" w:lineRule="auto"/>
        <w:ind w:right="254"/>
        <w:jc w:val="both"/>
        <w:rPr>
          <w:rFonts w:ascii="Arial" w:hAnsi="Arial"/>
        </w:rPr>
      </w:pPr>
      <w:r>
        <w:rPr>
          <w:color w:val="525252"/>
          <w:spacing w:val="-1"/>
        </w:rPr>
        <w:t>L’engagement</w:t>
      </w:r>
      <w:r>
        <w:rPr>
          <w:color w:val="525252"/>
        </w:rPr>
        <w:t xml:space="preserve"> </w:t>
      </w:r>
      <w:r>
        <w:rPr>
          <w:color w:val="525252"/>
          <w:spacing w:val="-1"/>
        </w:rPr>
        <w:t>d’</w:t>
      </w:r>
      <w:proofErr w:type="spellStart"/>
      <w:r>
        <w:rPr>
          <w:color w:val="525252"/>
          <w:spacing w:val="-1"/>
        </w:rPr>
        <w:t>Arkéa</w:t>
      </w:r>
      <w:proofErr w:type="spellEnd"/>
      <w:r>
        <w:rPr>
          <w:color w:val="525252"/>
          <w:spacing w:val="-11"/>
        </w:rPr>
        <w:t xml:space="preserve"> </w:t>
      </w:r>
      <w:r>
        <w:rPr>
          <w:color w:val="525252"/>
          <w:spacing w:val="-1"/>
        </w:rPr>
        <w:t>Capital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1"/>
        </w:rPr>
        <w:t>et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1"/>
        </w:rPr>
        <w:t>d’</w:t>
      </w:r>
      <w:proofErr w:type="spellStart"/>
      <w:r>
        <w:rPr>
          <w:color w:val="525252"/>
          <w:spacing w:val="-1"/>
        </w:rPr>
        <w:t>Arkéa</w:t>
      </w:r>
      <w:proofErr w:type="spellEnd"/>
      <w:r>
        <w:rPr>
          <w:color w:val="525252"/>
          <w:spacing w:val="-11"/>
        </w:rPr>
        <w:t xml:space="preserve"> </w:t>
      </w:r>
      <w:r>
        <w:rPr>
          <w:color w:val="525252"/>
          <w:spacing w:val="-1"/>
        </w:rPr>
        <w:t>Banque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1"/>
        </w:rPr>
        <w:t>Entreprises</w:t>
      </w:r>
      <w:r>
        <w:rPr>
          <w:color w:val="525252"/>
          <w:spacing w:val="-12"/>
        </w:rPr>
        <w:t xml:space="preserve"> </w:t>
      </w:r>
      <w:r>
        <w:rPr>
          <w:color w:val="525252"/>
          <w:spacing w:val="-1"/>
        </w:rPr>
        <w:t>et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1"/>
        </w:rPr>
        <w:t>Institutionnels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en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faveur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d’une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gouvernance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durable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s’aligne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pleinement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avec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la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stratégie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du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Crédit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Mutuel</w:t>
      </w:r>
      <w:r>
        <w:rPr>
          <w:color w:val="525252"/>
          <w:spacing w:val="-10"/>
        </w:rPr>
        <w:t xml:space="preserve"> </w:t>
      </w:r>
      <w:proofErr w:type="spellStart"/>
      <w:r>
        <w:rPr>
          <w:color w:val="525252"/>
        </w:rPr>
        <w:t>Arkéa</w:t>
      </w:r>
      <w:proofErr w:type="spellEnd"/>
      <w:r>
        <w:rPr>
          <w:color w:val="525252"/>
        </w:rPr>
        <w:t>,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entreprise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à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mission.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Celle-ci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repose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sur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une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approche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de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performance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globale,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accordant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une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importance égale aux résultats financiers et extra-financiers, tout en affirmant un ancrage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 xml:space="preserve">territorial fort. Des marqueurs qui positionnent naturellement </w:t>
      </w:r>
      <w:proofErr w:type="spellStart"/>
      <w:r>
        <w:rPr>
          <w:color w:val="525252"/>
        </w:rPr>
        <w:t>Arkéa</w:t>
      </w:r>
      <w:proofErr w:type="spellEnd"/>
      <w:r>
        <w:rPr>
          <w:color w:val="525252"/>
        </w:rPr>
        <w:t xml:space="preserve"> Capital et </w:t>
      </w:r>
      <w:proofErr w:type="spellStart"/>
      <w:r>
        <w:rPr>
          <w:color w:val="525252"/>
        </w:rPr>
        <w:t>Arkéa</w:t>
      </w:r>
      <w:proofErr w:type="spellEnd"/>
      <w:r>
        <w:rPr>
          <w:color w:val="525252"/>
        </w:rPr>
        <w:t xml:space="preserve"> Banque</w:t>
      </w:r>
      <w:r>
        <w:rPr>
          <w:color w:val="525252"/>
          <w:spacing w:val="-47"/>
        </w:rPr>
        <w:t xml:space="preserve"> </w:t>
      </w:r>
      <w:r>
        <w:rPr>
          <w:color w:val="525252"/>
        </w:rPr>
        <w:t>Entreprises et Institutionnels comme des acteurs clés pour accompagner les PME-ETI dans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leurs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transitions.</w:t>
      </w:r>
    </w:p>
    <w:p w:rsidR="00D03DC2" w:rsidRDefault="00D03DC2">
      <w:pPr>
        <w:pStyle w:val="Corpsdetexte"/>
      </w:pPr>
    </w:p>
    <w:p w:rsidR="00D03DC2" w:rsidRDefault="00D03DC2">
      <w:pPr>
        <w:pStyle w:val="Corpsdetexte"/>
        <w:spacing w:before="4"/>
        <w:rPr>
          <w:sz w:val="16"/>
        </w:rPr>
      </w:pPr>
    </w:p>
    <w:p w:rsidR="00D03DC2" w:rsidRDefault="004C31D1">
      <w:pPr>
        <w:spacing w:before="1" w:line="276" w:lineRule="auto"/>
        <w:ind w:left="298" w:right="251"/>
        <w:jc w:val="both"/>
        <w:rPr>
          <w:i/>
        </w:rPr>
      </w:pPr>
      <w:r>
        <w:rPr>
          <w:b/>
          <w:color w:val="585858"/>
        </w:rPr>
        <w:t>Bertrand</w:t>
      </w:r>
      <w:r>
        <w:rPr>
          <w:b/>
          <w:color w:val="585858"/>
          <w:spacing w:val="5"/>
        </w:rPr>
        <w:t xml:space="preserve"> </w:t>
      </w:r>
      <w:proofErr w:type="spellStart"/>
      <w:r>
        <w:rPr>
          <w:b/>
          <w:color w:val="585858"/>
        </w:rPr>
        <w:t>Blanpain</w:t>
      </w:r>
      <w:proofErr w:type="spellEnd"/>
      <w:r>
        <w:rPr>
          <w:b/>
          <w:color w:val="585858"/>
        </w:rPr>
        <w:t>,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Directeur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général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délégué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du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Crédit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Mutuel</w:t>
      </w:r>
      <w:r>
        <w:rPr>
          <w:b/>
          <w:color w:val="585858"/>
          <w:spacing w:val="-8"/>
        </w:rPr>
        <w:t xml:space="preserve"> </w:t>
      </w:r>
      <w:proofErr w:type="spellStart"/>
      <w:r>
        <w:rPr>
          <w:b/>
          <w:color w:val="585858"/>
        </w:rPr>
        <w:t>Arkéa</w:t>
      </w:r>
      <w:proofErr w:type="spellEnd"/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en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charge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du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pôle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entreprises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 xml:space="preserve">et institutionnels : </w:t>
      </w:r>
      <w:r>
        <w:rPr>
          <w:i/>
          <w:color w:val="525252"/>
        </w:rPr>
        <w:t>« L’accompagnement des transitions ESG est au c</w:t>
      </w:r>
      <w:r>
        <w:rPr>
          <w:rFonts w:ascii="Arial" w:hAnsi="Arial"/>
          <w:i/>
          <w:color w:val="525252"/>
        </w:rPr>
        <w:t>œ</w:t>
      </w:r>
      <w:r>
        <w:rPr>
          <w:i/>
          <w:color w:val="525252"/>
        </w:rPr>
        <w:t>ur de notre modèle, qu’il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s’agisse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soutenir</w:t>
      </w:r>
      <w:r>
        <w:rPr>
          <w:i/>
          <w:color w:val="525252"/>
          <w:spacing w:val="49"/>
        </w:rPr>
        <w:t xml:space="preserve"> </w:t>
      </w:r>
      <w:r>
        <w:rPr>
          <w:i/>
          <w:color w:val="525252"/>
        </w:rPr>
        <w:t>les projets durables ou de faire évoluer nos propres politiques. C’est pourquoi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nous</w:t>
      </w:r>
      <w:r>
        <w:rPr>
          <w:i/>
          <w:color w:val="525252"/>
          <w:spacing w:val="6"/>
        </w:rPr>
        <w:t xml:space="preserve"> </w:t>
      </w:r>
      <w:r>
        <w:rPr>
          <w:i/>
          <w:color w:val="525252"/>
        </w:rPr>
        <w:t>sommes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heur</w:t>
      </w:r>
      <w:r>
        <w:rPr>
          <w:i/>
          <w:color w:val="525252"/>
        </w:rPr>
        <w:t>eux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d’avoir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pu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collaborer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avec</w:t>
      </w:r>
      <w:r>
        <w:rPr>
          <w:i/>
          <w:color w:val="525252"/>
          <w:spacing w:val="-7"/>
        </w:rPr>
        <w:t xml:space="preserve"> </w:t>
      </w:r>
      <w:proofErr w:type="spellStart"/>
      <w:r>
        <w:rPr>
          <w:i/>
          <w:color w:val="525252"/>
        </w:rPr>
        <w:t>EthiFinance</w:t>
      </w:r>
      <w:proofErr w:type="spellEnd"/>
      <w:r>
        <w:rPr>
          <w:i/>
          <w:color w:val="525252"/>
        </w:rPr>
        <w:t>,</w:t>
      </w:r>
      <w:r>
        <w:rPr>
          <w:i/>
          <w:color w:val="525252"/>
          <w:spacing w:val="-6"/>
        </w:rPr>
        <w:t xml:space="preserve"> </w:t>
      </w:r>
      <w:r>
        <w:rPr>
          <w:i/>
          <w:color w:val="525252"/>
        </w:rPr>
        <w:t>notre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partenaire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longue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date,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afin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mettre</w:t>
      </w:r>
      <w:r>
        <w:rPr>
          <w:i/>
          <w:color w:val="525252"/>
          <w:spacing w:val="-8"/>
        </w:rPr>
        <w:t xml:space="preserve"> </w:t>
      </w:r>
      <w:r>
        <w:rPr>
          <w:i/>
          <w:color w:val="525252"/>
        </w:rPr>
        <w:t>en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lumière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les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axes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d’amélioration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des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PME-ETI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en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matière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gouvernance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qui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peuvent</w:t>
      </w:r>
      <w:r>
        <w:rPr>
          <w:i/>
          <w:color w:val="525252"/>
          <w:spacing w:val="-7"/>
        </w:rPr>
        <w:t xml:space="preserve"> </w:t>
      </w:r>
      <w:r>
        <w:rPr>
          <w:i/>
          <w:color w:val="525252"/>
        </w:rPr>
        <w:t>nourrir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un</w:t>
      </w:r>
      <w:r>
        <w:rPr>
          <w:i/>
          <w:color w:val="525252"/>
          <w:spacing w:val="37"/>
        </w:rPr>
        <w:t xml:space="preserve"> </w:t>
      </w:r>
      <w:r>
        <w:rPr>
          <w:i/>
          <w:color w:val="525252"/>
        </w:rPr>
        <w:t>dialogue</w:t>
      </w:r>
      <w:r>
        <w:rPr>
          <w:i/>
          <w:color w:val="525252"/>
          <w:spacing w:val="38"/>
        </w:rPr>
        <w:t xml:space="preserve"> </w:t>
      </w:r>
      <w:r>
        <w:rPr>
          <w:i/>
          <w:color w:val="525252"/>
        </w:rPr>
        <w:t>avec</w:t>
      </w:r>
      <w:r>
        <w:rPr>
          <w:i/>
          <w:color w:val="525252"/>
          <w:spacing w:val="38"/>
        </w:rPr>
        <w:t xml:space="preserve"> </w:t>
      </w:r>
      <w:r>
        <w:rPr>
          <w:i/>
          <w:color w:val="525252"/>
        </w:rPr>
        <w:t>les</w:t>
      </w:r>
      <w:r>
        <w:rPr>
          <w:i/>
          <w:color w:val="525252"/>
          <w:spacing w:val="38"/>
        </w:rPr>
        <w:t xml:space="preserve"> </w:t>
      </w:r>
      <w:r>
        <w:rPr>
          <w:i/>
          <w:color w:val="525252"/>
        </w:rPr>
        <w:t>dirigeants.</w:t>
      </w:r>
      <w:r>
        <w:rPr>
          <w:i/>
          <w:color w:val="525252"/>
          <w:spacing w:val="38"/>
        </w:rPr>
        <w:t xml:space="preserve"> </w:t>
      </w:r>
      <w:r>
        <w:rPr>
          <w:i/>
          <w:color w:val="525252"/>
        </w:rPr>
        <w:t>Ce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travail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d'identification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des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différents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enjeux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durabilité</w:t>
      </w:r>
      <w:r>
        <w:rPr>
          <w:i/>
          <w:color w:val="525252"/>
          <w:spacing w:val="24"/>
        </w:rPr>
        <w:t xml:space="preserve"> </w:t>
      </w:r>
      <w:r>
        <w:rPr>
          <w:i/>
          <w:color w:val="525252"/>
        </w:rPr>
        <w:t>nous</w:t>
      </w:r>
    </w:p>
    <w:p w:rsidR="00D03DC2" w:rsidRDefault="00D03DC2">
      <w:pPr>
        <w:spacing w:line="276" w:lineRule="auto"/>
        <w:jc w:val="both"/>
        <w:sectPr w:rsidR="00D03DC2">
          <w:pgSz w:w="11920" w:h="16840"/>
          <w:pgMar w:top="1100" w:right="1180" w:bottom="280" w:left="1120" w:header="720" w:footer="720" w:gutter="0"/>
          <w:cols w:space="720"/>
        </w:sectPr>
      </w:pPr>
    </w:p>
    <w:p w:rsidR="00D03DC2" w:rsidRDefault="004C31D1">
      <w:pPr>
        <w:spacing w:before="38" w:line="276" w:lineRule="auto"/>
        <w:ind w:left="298" w:right="256"/>
        <w:jc w:val="both"/>
        <w:rPr>
          <w:i/>
        </w:rPr>
      </w:pPr>
      <w:proofErr w:type="gramStart"/>
      <w:r>
        <w:rPr>
          <w:i/>
          <w:color w:val="525252"/>
        </w:rPr>
        <w:lastRenderedPageBreak/>
        <w:t>permet</w:t>
      </w:r>
      <w:proofErr w:type="gramEnd"/>
      <w:r>
        <w:rPr>
          <w:i/>
          <w:color w:val="525252"/>
        </w:rPr>
        <w:t xml:space="preserve"> de concevoir de nouvelles offres et de nouveaux services pour aider nos clients à poursuivre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leur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transformation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au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service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du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tissu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économique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des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territoires.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»</w:t>
      </w:r>
    </w:p>
    <w:p w:rsidR="00D03DC2" w:rsidRDefault="00D03DC2">
      <w:pPr>
        <w:pStyle w:val="Corpsdetexte"/>
        <w:spacing w:before="3"/>
        <w:rPr>
          <w:i/>
          <w:sz w:val="25"/>
        </w:rPr>
      </w:pPr>
    </w:p>
    <w:p w:rsidR="00D03DC2" w:rsidRDefault="004C31D1">
      <w:pPr>
        <w:spacing w:line="276" w:lineRule="auto"/>
        <w:ind w:left="298" w:right="255"/>
        <w:jc w:val="both"/>
        <w:rPr>
          <w:i/>
        </w:rPr>
      </w:pPr>
      <w:r>
        <w:rPr>
          <w:b/>
          <w:color w:val="525252"/>
        </w:rPr>
        <w:t xml:space="preserve">Isabelle </w:t>
      </w:r>
      <w:proofErr w:type="spellStart"/>
      <w:r>
        <w:rPr>
          <w:b/>
          <w:color w:val="525252"/>
        </w:rPr>
        <w:t>Combarel</w:t>
      </w:r>
      <w:proofErr w:type="spellEnd"/>
      <w:r>
        <w:rPr>
          <w:b/>
          <w:color w:val="525252"/>
        </w:rPr>
        <w:t>, Présidente du Directoire d’</w:t>
      </w:r>
      <w:proofErr w:type="spellStart"/>
      <w:r>
        <w:rPr>
          <w:b/>
          <w:color w:val="525252"/>
        </w:rPr>
        <w:t>Arkéa</w:t>
      </w:r>
      <w:proofErr w:type="spellEnd"/>
      <w:r>
        <w:rPr>
          <w:b/>
          <w:color w:val="525252"/>
        </w:rPr>
        <w:t xml:space="preserve"> Capital : </w:t>
      </w:r>
      <w:r>
        <w:rPr>
          <w:i/>
          <w:color w:val="525252"/>
        </w:rPr>
        <w:t xml:space="preserve">« Chez </w:t>
      </w:r>
      <w:proofErr w:type="spellStart"/>
      <w:r>
        <w:rPr>
          <w:i/>
          <w:color w:val="525252"/>
        </w:rPr>
        <w:t>Arkéa</w:t>
      </w:r>
      <w:proofErr w:type="spellEnd"/>
      <w:r>
        <w:rPr>
          <w:i/>
          <w:color w:val="525252"/>
        </w:rPr>
        <w:t xml:space="preserve"> Capital, nous sommes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convaincus que la compétitivité des PME et ETI repose sur leur perfo</w:t>
      </w:r>
      <w:r>
        <w:rPr>
          <w:i/>
          <w:color w:val="424242"/>
        </w:rPr>
        <w:t>r</w:t>
      </w:r>
      <w:r>
        <w:rPr>
          <w:i/>
          <w:color w:val="525252"/>
        </w:rPr>
        <w:t>mance en matière de durabilité.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Une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transformation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durable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ne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peut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pas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se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faire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sans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une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go</w:t>
      </w:r>
      <w:r>
        <w:rPr>
          <w:i/>
          <w:color w:val="525252"/>
        </w:rPr>
        <w:t>uvernance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exemplaire,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c’est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précisément ce que nous encourageons auprès des entreprises que nous accompagnons. C’est dans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cette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dynamique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que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nous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avons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organisé,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en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collaboration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avec</w:t>
      </w:r>
      <w:r>
        <w:rPr>
          <w:i/>
          <w:color w:val="525252"/>
          <w:spacing w:val="1"/>
        </w:rPr>
        <w:t xml:space="preserve"> </w:t>
      </w:r>
      <w:proofErr w:type="spellStart"/>
      <w:r>
        <w:rPr>
          <w:i/>
          <w:color w:val="525252"/>
        </w:rPr>
        <w:t>Arkéa</w:t>
      </w:r>
      <w:proofErr w:type="spellEnd"/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Banque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Entreprises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Institutionnels, des matinales dédiées à la CSRD pour aider les entreprises à mieux appréhender et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anticiper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ces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nouvelles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exigences.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»</w:t>
      </w:r>
    </w:p>
    <w:p w:rsidR="00D03DC2" w:rsidRDefault="00D03DC2">
      <w:pPr>
        <w:pStyle w:val="Corpsdetexte"/>
        <w:spacing w:before="4"/>
        <w:rPr>
          <w:i/>
          <w:sz w:val="25"/>
        </w:rPr>
      </w:pPr>
    </w:p>
    <w:p w:rsidR="00D03DC2" w:rsidRDefault="004C31D1">
      <w:pPr>
        <w:spacing w:line="276" w:lineRule="auto"/>
        <w:ind w:left="298" w:right="250"/>
        <w:jc w:val="both"/>
        <w:rPr>
          <w:i/>
        </w:rPr>
      </w:pPr>
      <w:r>
        <w:rPr>
          <w:b/>
          <w:color w:val="585858"/>
        </w:rPr>
        <w:t>Xavier Leroy, Directeur du Pôle Conseil et Solutions d'</w:t>
      </w:r>
      <w:proofErr w:type="spellStart"/>
      <w:r>
        <w:rPr>
          <w:b/>
          <w:color w:val="585858"/>
        </w:rPr>
        <w:t>EthiFinance</w:t>
      </w:r>
      <w:proofErr w:type="spellEnd"/>
      <w:r>
        <w:rPr>
          <w:b/>
          <w:color w:val="585858"/>
        </w:rPr>
        <w:t xml:space="preserve"> </w:t>
      </w:r>
      <w:r>
        <w:rPr>
          <w:color w:val="585858"/>
        </w:rPr>
        <w:t xml:space="preserve">: </w:t>
      </w:r>
      <w:r>
        <w:rPr>
          <w:i/>
          <w:color w:val="525252"/>
        </w:rPr>
        <w:t>« Notre collaboration avec le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groupe Crédit Mutuel</w:t>
      </w:r>
      <w:r>
        <w:rPr>
          <w:i/>
          <w:color w:val="525252"/>
        </w:rPr>
        <w:t xml:space="preserve"> </w:t>
      </w:r>
      <w:proofErr w:type="spellStart"/>
      <w:r>
        <w:rPr>
          <w:i/>
          <w:color w:val="525252"/>
        </w:rPr>
        <w:t>Arkéa</w:t>
      </w:r>
      <w:proofErr w:type="spellEnd"/>
      <w:r>
        <w:rPr>
          <w:i/>
          <w:color w:val="525252"/>
        </w:rPr>
        <w:t xml:space="preserve"> est inscrite dans la durée à l’instar de notre accompagnement dans le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déploiement</w:t>
      </w:r>
      <w:r>
        <w:rPr>
          <w:i/>
          <w:color w:val="525252"/>
          <w:spacing w:val="3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3"/>
        </w:rPr>
        <w:t xml:space="preserve"> </w:t>
      </w:r>
      <w:r>
        <w:rPr>
          <w:i/>
          <w:color w:val="525252"/>
        </w:rPr>
        <w:t>l’offre</w:t>
      </w:r>
      <w:r>
        <w:rPr>
          <w:i/>
          <w:color w:val="525252"/>
          <w:spacing w:val="3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4"/>
        </w:rPr>
        <w:t xml:space="preserve"> </w:t>
      </w:r>
      <w:r>
        <w:rPr>
          <w:i/>
          <w:color w:val="525252"/>
        </w:rPr>
        <w:t>crédits</w:t>
      </w:r>
      <w:r>
        <w:rPr>
          <w:i/>
          <w:color w:val="525252"/>
          <w:spacing w:val="-10"/>
        </w:rPr>
        <w:t xml:space="preserve"> </w:t>
      </w:r>
      <w:r>
        <w:rPr>
          <w:i/>
          <w:color w:val="525252"/>
        </w:rPr>
        <w:t>à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impact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-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PACT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-</w:t>
      </w:r>
      <w:r>
        <w:rPr>
          <w:i/>
          <w:color w:val="525252"/>
          <w:spacing w:val="-10"/>
        </w:rPr>
        <w:t xml:space="preserve"> </w:t>
      </w:r>
      <w:r>
        <w:rPr>
          <w:i/>
          <w:color w:val="525252"/>
        </w:rPr>
        <w:t>d’</w:t>
      </w:r>
      <w:proofErr w:type="spellStart"/>
      <w:r>
        <w:rPr>
          <w:i/>
          <w:color w:val="525252"/>
        </w:rPr>
        <w:t>Arkéa</w:t>
      </w:r>
      <w:proofErr w:type="spellEnd"/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Banque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Entreprises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et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Institutionnels.</w:t>
      </w:r>
      <w:r>
        <w:rPr>
          <w:i/>
          <w:color w:val="525252"/>
          <w:spacing w:val="-9"/>
        </w:rPr>
        <w:t xml:space="preserve"> </w:t>
      </w:r>
      <w:r>
        <w:rPr>
          <w:i/>
          <w:color w:val="525252"/>
        </w:rPr>
        <w:t>Cette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étude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conduite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avec</w:t>
      </w:r>
      <w:r>
        <w:rPr>
          <w:i/>
          <w:color w:val="525252"/>
          <w:spacing w:val="1"/>
        </w:rPr>
        <w:t xml:space="preserve"> </w:t>
      </w:r>
      <w:proofErr w:type="spellStart"/>
      <w:r>
        <w:rPr>
          <w:i/>
          <w:color w:val="525252"/>
        </w:rPr>
        <w:t>Arkéa</w:t>
      </w:r>
      <w:proofErr w:type="spellEnd"/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Capital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et</w:t>
      </w:r>
      <w:r>
        <w:rPr>
          <w:i/>
          <w:color w:val="525252"/>
          <w:spacing w:val="1"/>
        </w:rPr>
        <w:t xml:space="preserve"> </w:t>
      </w:r>
      <w:proofErr w:type="spellStart"/>
      <w:r>
        <w:rPr>
          <w:i/>
          <w:color w:val="525252"/>
        </w:rPr>
        <w:t>Arkéa</w:t>
      </w:r>
      <w:proofErr w:type="spellEnd"/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Banque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Entreprises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et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Institutionnels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illustre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leur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connaissance fine des PME-ETI et de leurs structures de gouvernance. Cette connaissance, couplée à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notre propre expertise dans l'évaluation des politiques RSE, a permis de mettre en évidence le niveau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maturité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réel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ces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s</w:t>
      </w:r>
      <w:r>
        <w:rPr>
          <w:i/>
          <w:color w:val="525252"/>
        </w:rPr>
        <w:t>tructures.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constat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chiffré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des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pratiques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de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gouvernance,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parfois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 xml:space="preserve">insuffisamment prises en compte, s'inscrit dans les travaux que conduit </w:t>
      </w:r>
      <w:proofErr w:type="spellStart"/>
      <w:r>
        <w:rPr>
          <w:i/>
          <w:color w:val="525252"/>
        </w:rPr>
        <w:t>EthiFinance</w:t>
      </w:r>
      <w:proofErr w:type="spellEnd"/>
      <w:r>
        <w:rPr>
          <w:i/>
          <w:color w:val="525252"/>
        </w:rPr>
        <w:t xml:space="preserve"> depuis 20 ans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dans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l'évaluation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ESG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des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PME</w:t>
      </w:r>
      <w:r>
        <w:rPr>
          <w:i/>
          <w:color w:val="525252"/>
          <w:spacing w:val="-2"/>
        </w:rPr>
        <w:t xml:space="preserve"> </w:t>
      </w:r>
      <w:r>
        <w:rPr>
          <w:i/>
          <w:color w:val="525252"/>
        </w:rPr>
        <w:t>et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ETI.</w:t>
      </w:r>
      <w:r>
        <w:rPr>
          <w:i/>
          <w:color w:val="525252"/>
          <w:spacing w:val="-1"/>
        </w:rPr>
        <w:t xml:space="preserve"> </w:t>
      </w:r>
      <w:r>
        <w:rPr>
          <w:i/>
          <w:color w:val="525252"/>
        </w:rPr>
        <w:t>»</w:t>
      </w:r>
    </w:p>
    <w:p w:rsidR="00D03DC2" w:rsidRDefault="00D03DC2">
      <w:pPr>
        <w:pStyle w:val="Corpsdetexte"/>
        <w:rPr>
          <w:i/>
        </w:rPr>
      </w:pPr>
    </w:p>
    <w:p w:rsidR="00D03DC2" w:rsidRDefault="004C31D1" w:rsidP="004C31D1">
      <w:pPr>
        <w:pStyle w:val="Titre1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propos</w:t>
      </w:r>
      <w:r>
        <w:rPr>
          <w:spacing w:val="-10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-10"/>
        </w:rPr>
        <w:t xml:space="preserve"> </w:t>
      </w:r>
      <w:r>
        <w:t>Capital</w:t>
      </w:r>
    </w:p>
    <w:p w:rsidR="00D03DC2" w:rsidRDefault="004C31D1">
      <w:pPr>
        <w:ind w:left="298"/>
        <w:jc w:val="both"/>
        <w:rPr>
          <w:sz w:val="18"/>
        </w:rPr>
      </w:pP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Capital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est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un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acteur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majeur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historique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du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capital-investissement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France.</w:t>
      </w:r>
    </w:p>
    <w:p w:rsidR="00D03DC2" w:rsidRDefault="004C31D1">
      <w:pPr>
        <w:spacing w:before="33" w:line="276" w:lineRule="auto"/>
        <w:ind w:left="298" w:right="260"/>
        <w:jc w:val="both"/>
        <w:rPr>
          <w:sz w:val="18"/>
        </w:rPr>
      </w:pPr>
      <w:r>
        <w:rPr>
          <w:color w:val="585858"/>
          <w:sz w:val="18"/>
        </w:rPr>
        <w:t xml:space="preserve">Depuis plus de 40 ans, </w:t>
      </w: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z w:val="18"/>
        </w:rPr>
        <w:t xml:space="preserve"> Capital soutient les visions audacieuses des entrepreneurs et dirigeants à chaque étape de la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vie de leur entreprise. Composée d’une équipe de 60 professionnels e</w:t>
      </w:r>
      <w:r>
        <w:rPr>
          <w:color w:val="585858"/>
          <w:sz w:val="18"/>
        </w:rPr>
        <w:t xml:space="preserve">xpérimentés, </w:t>
      </w: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z w:val="18"/>
        </w:rPr>
        <w:t xml:space="preserve"> Capital bénéficie d’un ancrage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territorial</w:t>
      </w:r>
      <w:r>
        <w:rPr>
          <w:color w:val="585858"/>
          <w:spacing w:val="10"/>
          <w:sz w:val="18"/>
        </w:rPr>
        <w:t xml:space="preserve"> </w:t>
      </w:r>
      <w:r>
        <w:rPr>
          <w:color w:val="585858"/>
          <w:sz w:val="18"/>
        </w:rPr>
        <w:t>fort</w:t>
      </w:r>
      <w:r>
        <w:rPr>
          <w:color w:val="585858"/>
          <w:spacing w:val="10"/>
          <w:sz w:val="18"/>
        </w:rPr>
        <w:t xml:space="preserve"> </w:t>
      </w:r>
      <w:r>
        <w:rPr>
          <w:color w:val="585858"/>
          <w:sz w:val="18"/>
        </w:rPr>
        <w:t>et</w:t>
      </w:r>
      <w:r>
        <w:rPr>
          <w:color w:val="585858"/>
          <w:spacing w:val="11"/>
          <w:sz w:val="18"/>
        </w:rPr>
        <w:t xml:space="preserve"> </w:t>
      </w:r>
      <w:r>
        <w:rPr>
          <w:color w:val="585858"/>
          <w:sz w:val="18"/>
        </w:rPr>
        <w:t>d’une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proximité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avec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les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dirigeants,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à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travers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ses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7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bureaux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situés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à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Brest,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Nantes,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Paris,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Rennes,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Bordeaux,</w:t>
      </w:r>
      <w:r>
        <w:rPr>
          <w:color w:val="585858"/>
          <w:spacing w:val="-38"/>
          <w:sz w:val="18"/>
        </w:rPr>
        <w:t xml:space="preserve"> </w:t>
      </w:r>
      <w:r>
        <w:rPr>
          <w:color w:val="585858"/>
          <w:sz w:val="18"/>
        </w:rPr>
        <w:t xml:space="preserve">Strasbourg et Lyon. Avec plus d’un 1,3 milliard d’euros sous gestion, </w:t>
      </w: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z w:val="18"/>
        </w:rPr>
        <w:t xml:space="preserve"> Capital soutient la croissance, sur le long terme,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d’une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centaine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d’entreprises,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startups,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PME et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ETI,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dans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de multiples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secteurs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d’activités.</w:t>
      </w:r>
    </w:p>
    <w:p w:rsidR="00D03DC2" w:rsidRDefault="004C31D1">
      <w:pPr>
        <w:spacing w:line="429" w:lineRule="auto"/>
        <w:ind w:left="298" w:right="1792"/>
        <w:jc w:val="both"/>
        <w:rPr>
          <w:sz w:val="18"/>
        </w:rPr>
      </w:pP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Capital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est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la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société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gesti</w:t>
      </w:r>
      <w:r>
        <w:rPr>
          <w:color w:val="585858"/>
          <w:sz w:val="18"/>
        </w:rPr>
        <w:t>on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du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groupe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Crédit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Mutuel</w:t>
      </w:r>
      <w:r>
        <w:rPr>
          <w:color w:val="585858"/>
          <w:spacing w:val="-4"/>
          <w:sz w:val="18"/>
        </w:rPr>
        <w:t xml:space="preserve"> </w:t>
      </w: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dédiée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au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capital-investissement.</w:t>
      </w:r>
      <w:r>
        <w:rPr>
          <w:color w:val="585858"/>
          <w:spacing w:val="-38"/>
          <w:sz w:val="18"/>
        </w:rPr>
        <w:t xml:space="preserve"> </w:t>
      </w:r>
      <w:r>
        <w:rPr>
          <w:color w:val="585858"/>
          <w:sz w:val="18"/>
        </w:rPr>
        <w:t>Plus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 xml:space="preserve">d’informations : </w:t>
      </w:r>
      <w:hyperlink r:id="rId7">
        <w:r>
          <w:rPr>
            <w:color w:val="1154CC"/>
            <w:sz w:val="18"/>
            <w:u w:val="thick" w:color="1154CC"/>
          </w:rPr>
          <w:t>site d'</w:t>
        </w:r>
        <w:proofErr w:type="spellStart"/>
        <w:r>
          <w:rPr>
            <w:color w:val="1154CC"/>
            <w:sz w:val="18"/>
            <w:u w:val="thick" w:color="1154CC"/>
          </w:rPr>
          <w:t>Arkéa</w:t>
        </w:r>
        <w:proofErr w:type="spellEnd"/>
        <w:r>
          <w:rPr>
            <w:color w:val="1154CC"/>
            <w:sz w:val="18"/>
            <w:u w:val="thick" w:color="1154CC"/>
          </w:rPr>
          <w:t xml:space="preserve"> Capital</w:t>
        </w:r>
      </w:hyperlink>
    </w:p>
    <w:p w:rsidR="00D03DC2" w:rsidRDefault="004C31D1" w:rsidP="004C31D1">
      <w:pPr>
        <w:pStyle w:val="Titre1"/>
      </w:pPr>
      <w:r>
        <w:t>A</w:t>
      </w:r>
      <w:r>
        <w:rPr>
          <w:spacing w:val="-12"/>
        </w:rPr>
        <w:t xml:space="preserve"> </w:t>
      </w:r>
      <w:r>
        <w:t>propos</w:t>
      </w:r>
      <w:r>
        <w:rPr>
          <w:spacing w:val="-11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-11"/>
        </w:rPr>
        <w:t xml:space="preserve"> </w:t>
      </w:r>
      <w:r>
        <w:t>Banque</w:t>
      </w:r>
      <w:r>
        <w:rPr>
          <w:spacing w:val="-12"/>
        </w:rPr>
        <w:t xml:space="preserve"> </w:t>
      </w:r>
      <w:r>
        <w:t>Entreprises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Institutionnels</w:t>
      </w:r>
    </w:p>
    <w:p w:rsidR="00D03DC2" w:rsidRDefault="004C31D1">
      <w:pPr>
        <w:spacing w:line="276" w:lineRule="auto"/>
        <w:ind w:left="298" w:right="253"/>
        <w:jc w:val="both"/>
        <w:rPr>
          <w:sz w:val="18"/>
        </w:rPr>
      </w:pP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z w:val="18"/>
        </w:rPr>
        <w:t xml:space="preserve"> Banque Entreprises et Institutionnels est la filiale du groupe Crédit Mutuel </w:t>
      </w:r>
      <w:proofErr w:type="spellStart"/>
      <w:r>
        <w:rPr>
          <w:color w:val="585858"/>
          <w:sz w:val="18"/>
        </w:rPr>
        <w:t>Arkéa</w:t>
      </w:r>
      <w:proofErr w:type="spellEnd"/>
      <w:r>
        <w:rPr>
          <w:color w:val="585858"/>
          <w:sz w:val="18"/>
        </w:rPr>
        <w:t xml:space="preserve"> dédiée aux marchés des entreprises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(PME &amp; ETI), des acteurs publics et institutionnels locaux et des professionnels de l’immobilier. La banque accompagne 15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000 acteur</w:t>
      </w:r>
      <w:r>
        <w:rPr>
          <w:color w:val="585858"/>
          <w:sz w:val="18"/>
        </w:rPr>
        <w:t>s économiques partout en France à travers ses 21 implantations. Elle propose à ses clients une offre complète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 xml:space="preserve">(financements, traitement des flux, moyens de paiement, épargne, assurances, opérations de salle des marchés, </w:t>
      </w:r>
      <w:proofErr w:type="spellStart"/>
      <w:r>
        <w:rPr>
          <w:color w:val="585858"/>
          <w:sz w:val="18"/>
        </w:rPr>
        <w:t>opcvm</w:t>
      </w:r>
      <w:proofErr w:type="spellEnd"/>
      <w:r>
        <w:rPr>
          <w:color w:val="585858"/>
          <w:sz w:val="18"/>
        </w:rPr>
        <w:t>,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etc.).</w:t>
      </w:r>
    </w:p>
    <w:p w:rsidR="00D03DC2" w:rsidRDefault="00D03DC2">
      <w:pPr>
        <w:pStyle w:val="Corpsdetexte"/>
        <w:spacing w:before="11"/>
        <w:rPr>
          <w:sz w:val="17"/>
        </w:rPr>
      </w:pPr>
    </w:p>
    <w:p w:rsidR="00D03DC2" w:rsidRDefault="004C31D1">
      <w:pPr>
        <w:spacing w:before="1"/>
        <w:ind w:left="298"/>
        <w:jc w:val="both"/>
        <w:rPr>
          <w:sz w:val="18"/>
        </w:rPr>
      </w:pPr>
      <w:r>
        <w:rPr>
          <w:color w:val="585858"/>
          <w:sz w:val="18"/>
        </w:rPr>
        <w:t>Plus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d’informations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:</w:t>
      </w:r>
      <w:r>
        <w:rPr>
          <w:color w:val="585858"/>
          <w:spacing w:val="-6"/>
          <w:sz w:val="18"/>
        </w:rPr>
        <w:t xml:space="preserve"> </w:t>
      </w:r>
      <w:hyperlink r:id="rId8">
        <w:r>
          <w:rPr>
            <w:color w:val="0462C1"/>
            <w:sz w:val="18"/>
            <w:u w:val="thick" w:color="0462C1"/>
          </w:rPr>
          <w:t>site d'</w:t>
        </w:r>
        <w:proofErr w:type="spellStart"/>
        <w:r>
          <w:rPr>
            <w:color w:val="0462C1"/>
            <w:sz w:val="18"/>
            <w:u w:val="thick" w:color="0462C1"/>
          </w:rPr>
          <w:t>Arkéa</w:t>
        </w:r>
        <w:proofErr w:type="spellEnd"/>
        <w:r>
          <w:rPr>
            <w:color w:val="0462C1"/>
            <w:sz w:val="18"/>
            <w:u w:val="thick" w:color="0462C1"/>
          </w:rPr>
          <w:t xml:space="preserve"> Banque E&amp;I</w:t>
        </w:r>
      </w:hyperlink>
    </w:p>
    <w:p w:rsidR="00D03DC2" w:rsidRDefault="00D03DC2">
      <w:pPr>
        <w:pStyle w:val="Corpsdetexte"/>
      </w:pPr>
    </w:p>
    <w:p w:rsidR="00D03DC2" w:rsidRDefault="004C31D1" w:rsidP="004C31D1">
      <w:pPr>
        <w:pStyle w:val="Titre1"/>
      </w:pPr>
      <w:r>
        <w:t>A</w:t>
      </w:r>
      <w:r>
        <w:rPr>
          <w:spacing w:val="-7"/>
        </w:rPr>
        <w:t xml:space="preserve"> </w:t>
      </w:r>
      <w:r>
        <w:t>propos</w:t>
      </w:r>
      <w:r>
        <w:rPr>
          <w:spacing w:val="-7"/>
        </w:rPr>
        <w:t xml:space="preserve"> </w:t>
      </w:r>
      <w:r>
        <w:t>d’</w:t>
      </w:r>
      <w:proofErr w:type="spellStart"/>
      <w:r>
        <w:t>EthiFinance</w:t>
      </w:r>
      <w:proofErr w:type="spellEnd"/>
    </w:p>
    <w:p w:rsidR="00D03DC2" w:rsidRDefault="004C31D1">
      <w:pPr>
        <w:spacing w:line="276" w:lineRule="auto"/>
        <w:ind w:left="298" w:right="250"/>
        <w:jc w:val="both"/>
        <w:rPr>
          <w:sz w:val="18"/>
        </w:rPr>
      </w:pPr>
      <w:proofErr w:type="spellStart"/>
      <w:r>
        <w:rPr>
          <w:color w:val="585858"/>
          <w:sz w:val="18"/>
        </w:rPr>
        <w:t>EthiFinance</w:t>
      </w:r>
      <w:proofErr w:type="spellEnd"/>
      <w:r>
        <w:rPr>
          <w:color w:val="585858"/>
          <w:sz w:val="18"/>
        </w:rPr>
        <w:t xml:space="preserve"> compte plus de 160 collaborateurs répartis entre Paris, Lyon, Madrid, Grenade et Hanovre. Acteur européen de</w:t>
      </w:r>
      <w:r>
        <w:rPr>
          <w:color w:val="585858"/>
          <w:spacing w:val="-38"/>
          <w:sz w:val="18"/>
        </w:rPr>
        <w:t xml:space="preserve"> </w:t>
      </w:r>
      <w:r>
        <w:rPr>
          <w:color w:val="585858"/>
          <w:sz w:val="18"/>
        </w:rPr>
        <w:t>référence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la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finance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durable,</w:t>
      </w:r>
      <w:r>
        <w:rPr>
          <w:color w:val="585858"/>
          <w:spacing w:val="1"/>
          <w:sz w:val="18"/>
        </w:rPr>
        <w:t xml:space="preserve"> </w:t>
      </w:r>
      <w:proofErr w:type="spellStart"/>
      <w:r>
        <w:rPr>
          <w:color w:val="585858"/>
          <w:sz w:val="18"/>
        </w:rPr>
        <w:t>EthiFinance</w:t>
      </w:r>
      <w:proofErr w:type="spellEnd"/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accompagne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depuis 2004 plus de 400 clients à travers ses expertises en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notation, en recherche et en conseil. Elle propose aux investisseurs et aux entreprises des solutions stratégiques adaptées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aux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défis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d’un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environnement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économique,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financie</w:t>
      </w:r>
      <w:r>
        <w:rPr>
          <w:color w:val="585858"/>
          <w:sz w:val="18"/>
        </w:rPr>
        <w:t>r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et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réglementaire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en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constante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évolution.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Fidèle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à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ses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valeurs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 xml:space="preserve">d’indépendance, d’excellence et de responsabilité, </w:t>
      </w:r>
      <w:proofErr w:type="spellStart"/>
      <w:r>
        <w:rPr>
          <w:color w:val="585858"/>
          <w:sz w:val="18"/>
        </w:rPr>
        <w:t>EthiFinance</w:t>
      </w:r>
      <w:proofErr w:type="spellEnd"/>
      <w:r>
        <w:rPr>
          <w:color w:val="585858"/>
          <w:sz w:val="18"/>
        </w:rPr>
        <w:t xml:space="preserve"> adopte une approche européenne distinctive, alliant rigueur</w:t>
      </w:r>
      <w:r>
        <w:rPr>
          <w:color w:val="585858"/>
          <w:spacing w:val="-38"/>
          <w:sz w:val="18"/>
        </w:rPr>
        <w:t xml:space="preserve"> </w:t>
      </w:r>
      <w:r>
        <w:rPr>
          <w:color w:val="585858"/>
          <w:sz w:val="18"/>
        </w:rPr>
        <w:t>analytique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et engagement au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service de la performance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et de la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résilience des entreprises.</w:t>
      </w:r>
    </w:p>
    <w:p w:rsidR="00D03DC2" w:rsidRDefault="00D03DC2">
      <w:pPr>
        <w:pStyle w:val="Corpsdetexte"/>
        <w:rPr>
          <w:sz w:val="18"/>
        </w:rPr>
      </w:pPr>
    </w:p>
    <w:p w:rsidR="00D03DC2" w:rsidRDefault="004C31D1">
      <w:pPr>
        <w:ind w:left="298"/>
        <w:jc w:val="both"/>
        <w:rPr>
          <w:sz w:val="18"/>
        </w:rPr>
      </w:pPr>
      <w:r>
        <w:rPr>
          <w:color w:val="424242"/>
          <w:sz w:val="18"/>
        </w:rPr>
        <w:t>Plus</w:t>
      </w:r>
      <w:r>
        <w:rPr>
          <w:color w:val="424242"/>
          <w:spacing w:val="-6"/>
          <w:sz w:val="18"/>
        </w:rPr>
        <w:t xml:space="preserve"> </w:t>
      </w:r>
      <w:r>
        <w:rPr>
          <w:color w:val="424242"/>
          <w:sz w:val="18"/>
        </w:rPr>
        <w:t>d’informations</w:t>
      </w:r>
      <w:r>
        <w:rPr>
          <w:color w:val="424242"/>
          <w:spacing w:val="-5"/>
          <w:sz w:val="18"/>
        </w:rPr>
        <w:t xml:space="preserve"> </w:t>
      </w:r>
      <w:r>
        <w:rPr>
          <w:color w:val="424242"/>
          <w:sz w:val="18"/>
        </w:rPr>
        <w:t>:</w:t>
      </w:r>
      <w:r>
        <w:rPr>
          <w:color w:val="424242"/>
          <w:spacing w:val="-5"/>
          <w:sz w:val="18"/>
        </w:rPr>
        <w:t xml:space="preserve"> </w:t>
      </w:r>
      <w:hyperlink r:id="rId9">
        <w:r>
          <w:rPr>
            <w:color w:val="1154CC"/>
            <w:sz w:val="18"/>
            <w:u w:val="thick" w:color="1154CC"/>
          </w:rPr>
          <w:t>site d'</w:t>
        </w:r>
        <w:proofErr w:type="spellStart"/>
        <w:r>
          <w:rPr>
            <w:color w:val="1154CC"/>
            <w:sz w:val="18"/>
            <w:u w:val="thick" w:color="1154CC"/>
          </w:rPr>
          <w:t>Ethifinance</w:t>
        </w:r>
        <w:proofErr w:type="spellEnd"/>
      </w:hyperlink>
    </w:p>
    <w:p w:rsidR="00D03DC2" w:rsidRDefault="00D03DC2">
      <w:pPr>
        <w:pStyle w:val="Corpsdetexte"/>
        <w:rPr>
          <w:sz w:val="18"/>
        </w:rPr>
      </w:pPr>
    </w:p>
    <w:p w:rsidR="00D03DC2" w:rsidRDefault="00D03DC2">
      <w:pPr>
        <w:pStyle w:val="Corpsdetexte"/>
      </w:pPr>
    </w:p>
    <w:p w:rsidR="00D03DC2" w:rsidRDefault="004C31D1">
      <w:pPr>
        <w:spacing w:before="1"/>
        <w:ind w:left="298"/>
        <w:jc w:val="both"/>
      </w:pPr>
      <w:r>
        <w:rPr>
          <w:b/>
          <w:color w:val="585858"/>
        </w:rPr>
        <w:t>Contact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presse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:</w:t>
      </w:r>
      <w:r>
        <w:rPr>
          <w:b/>
          <w:color w:val="585858"/>
          <w:spacing w:val="-6"/>
        </w:rPr>
        <w:t xml:space="preserve"> </w:t>
      </w:r>
      <w:r>
        <w:rPr>
          <w:color w:val="585858"/>
        </w:rPr>
        <w:t>Solen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Deltour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06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80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38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78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6"/>
        </w:rPr>
        <w:t xml:space="preserve"> </w:t>
      </w:r>
      <w:hyperlink r:id="rId10">
        <w:r>
          <w:rPr>
            <w:color w:val="0462C1"/>
            <w:u w:val="thick" w:color="0462C1"/>
          </w:rPr>
          <w:t>solen.deltour@arkea.com</w:t>
        </w:r>
      </w:hyperlink>
    </w:p>
    <w:sectPr w:rsidR="00D03DC2">
      <w:pgSz w:w="11920" w:h="16840"/>
      <w:pgMar w:top="110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1C5"/>
    <w:multiLevelType w:val="hybridMultilevel"/>
    <w:tmpl w:val="D36C9626"/>
    <w:lvl w:ilvl="0" w:tplc="9B06A3B4">
      <w:numFmt w:val="bullet"/>
      <w:lvlText w:val="●"/>
      <w:lvlJc w:val="left"/>
      <w:pPr>
        <w:ind w:left="1018" w:hanging="360"/>
      </w:pPr>
      <w:rPr>
        <w:rFonts w:ascii="Arial" w:eastAsia="Arial" w:hAnsi="Arial" w:cs="Arial" w:hint="default"/>
        <w:w w:val="100"/>
        <w:lang w:val="fr-FR" w:eastAsia="en-US" w:bidi="ar-SA"/>
      </w:rPr>
    </w:lvl>
    <w:lvl w:ilvl="1" w:tplc="CA54701C">
      <w:numFmt w:val="bullet"/>
      <w:lvlText w:val="o"/>
      <w:lvlJc w:val="left"/>
      <w:pPr>
        <w:ind w:left="1438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22"/>
        <w:szCs w:val="22"/>
        <w:lang w:val="fr-FR" w:eastAsia="en-US" w:bidi="ar-SA"/>
      </w:rPr>
    </w:lvl>
    <w:lvl w:ilvl="2" w:tplc="835241EE">
      <w:numFmt w:val="bullet"/>
      <w:lvlText w:val="•"/>
      <w:lvlJc w:val="left"/>
      <w:pPr>
        <w:ind w:left="2348" w:hanging="285"/>
      </w:pPr>
      <w:rPr>
        <w:rFonts w:hint="default"/>
        <w:lang w:val="fr-FR" w:eastAsia="en-US" w:bidi="ar-SA"/>
      </w:rPr>
    </w:lvl>
    <w:lvl w:ilvl="3" w:tplc="A8461CDE">
      <w:numFmt w:val="bullet"/>
      <w:lvlText w:val="•"/>
      <w:lvlJc w:val="left"/>
      <w:pPr>
        <w:ind w:left="3257" w:hanging="285"/>
      </w:pPr>
      <w:rPr>
        <w:rFonts w:hint="default"/>
        <w:lang w:val="fr-FR" w:eastAsia="en-US" w:bidi="ar-SA"/>
      </w:rPr>
    </w:lvl>
    <w:lvl w:ilvl="4" w:tplc="D9227DE2">
      <w:numFmt w:val="bullet"/>
      <w:lvlText w:val="•"/>
      <w:lvlJc w:val="left"/>
      <w:pPr>
        <w:ind w:left="4166" w:hanging="285"/>
      </w:pPr>
      <w:rPr>
        <w:rFonts w:hint="default"/>
        <w:lang w:val="fr-FR" w:eastAsia="en-US" w:bidi="ar-SA"/>
      </w:rPr>
    </w:lvl>
    <w:lvl w:ilvl="5" w:tplc="ADE6BFF8">
      <w:numFmt w:val="bullet"/>
      <w:lvlText w:val="•"/>
      <w:lvlJc w:val="left"/>
      <w:pPr>
        <w:ind w:left="5075" w:hanging="285"/>
      </w:pPr>
      <w:rPr>
        <w:rFonts w:hint="default"/>
        <w:lang w:val="fr-FR" w:eastAsia="en-US" w:bidi="ar-SA"/>
      </w:rPr>
    </w:lvl>
    <w:lvl w:ilvl="6" w:tplc="453457EC">
      <w:numFmt w:val="bullet"/>
      <w:lvlText w:val="•"/>
      <w:lvlJc w:val="left"/>
      <w:pPr>
        <w:ind w:left="5984" w:hanging="285"/>
      </w:pPr>
      <w:rPr>
        <w:rFonts w:hint="default"/>
        <w:lang w:val="fr-FR" w:eastAsia="en-US" w:bidi="ar-SA"/>
      </w:rPr>
    </w:lvl>
    <w:lvl w:ilvl="7" w:tplc="7BAC1516">
      <w:numFmt w:val="bullet"/>
      <w:lvlText w:val="•"/>
      <w:lvlJc w:val="left"/>
      <w:pPr>
        <w:ind w:left="6893" w:hanging="285"/>
      </w:pPr>
      <w:rPr>
        <w:rFonts w:hint="default"/>
        <w:lang w:val="fr-FR" w:eastAsia="en-US" w:bidi="ar-SA"/>
      </w:rPr>
    </w:lvl>
    <w:lvl w:ilvl="8" w:tplc="759C4144">
      <w:numFmt w:val="bullet"/>
      <w:lvlText w:val="•"/>
      <w:lvlJc w:val="left"/>
      <w:pPr>
        <w:ind w:left="7802" w:hanging="28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DC2"/>
    <w:rsid w:val="004C31D1"/>
    <w:rsid w:val="00D0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9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298" w:right="252"/>
      <w:jc w:val="both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ind w:left="1438" w:right="255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C31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1D1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9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298" w:right="252"/>
      <w:jc w:val="both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ind w:left="1438" w:right="255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C31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1D1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kea-capita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len.deltour@arke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hifin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1788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Arkéa Capital x Arkéa Banque E&amp;I x EthiFinance - [Étude] Gouvernance des PME-ETI non cotées françaises _ une dynamique à accompagner en matière de durabilité - VDEF (3).docx</vt:lpstr>
    </vt:vector>
  </TitlesOfParts>
  <Company>Credit Mutuel ARKEA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Arkéa Capital x Arkéa Banque E&amp;I x EthiFinance - [Étude] Gouvernance des PME-ETI non cotées françaises _ une dynamique à accompagner en matière de durabilité - VDEF (3).docx</dc:title>
  <cp:lastModifiedBy>MARTIN BENJAMIN</cp:lastModifiedBy>
  <cp:revision>2</cp:revision>
  <dcterms:created xsi:type="dcterms:W3CDTF">2026-04-07T11:58:00Z</dcterms:created>
  <dcterms:modified xsi:type="dcterms:W3CDTF">2026-04-07T12:05:00Z</dcterms:modified>
</cp:coreProperties>
</file>