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39" w:rsidRDefault="00C26DEA">
      <w:pPr>
        <w:pStyle w:val="Corpsdetexte"/>
        <w:spacing w:before="187"/>
        <w:ind w:right="409"/>
        <w:jc w:val="right"/>
      </w:pPr>
      <w:r>
        <w:t>COMMUNIQUE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PRESSE</w:t>
      </w:r>
    </w:p>
    <w:p w:rsidR="001B0B39" w:rsidRDefault="001B0B39">
      <w:pPr>
        <w:pStyle w:val="Corpsdetexte"/>
      </w:pPr>
    </w:p>
    <w:p w:rsidR="001B0B39" w:rsidRDefault="00C26DEA">
      <w:pPr>
        <w:pStyle w:val="Titre"/>
        <w:spacing w:line="341" w:lineRule="exact"/>
        <w:ind w:left="989" w:right="1048"/>
      </w:pPr>
      <w:r>
        <w:rPr>
          <w:color w:val="FF0000"/>
        </w:rPr>
        <w:t>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Groupe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Annie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Famose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souscrit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deux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crédits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impact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«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PACT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»</w:t>
      </w:r>
    </w:p>
    <w:p w:rsidR="001B0B39" w:rsidRDefault="00C26DEA">
      <w:pPr>
        <w:pStyle w:val="Titre"/>
      </w:pPr>
      <w:proofErr w:type="gramStart"/>
      <w:r>
        <w:rPr>
          <w:color w:val="FF0000"/>
        </w:rPr>
        <w:t>d’un</w:t>
      </w:r>
      <w:proofErr w:type="gramEnd"/>
      <w:r>
        <w:rPr>
          <w:color w:val="FF0000"/>
        </w:rPr>
        <w:t xml:space="preserve"> total de 4,5 M€ auprès d’</w:t>
      </w:r>
      <w:proofErr w:type="spellStart"/>
      <w:r>
        <w:rPr>
          <w:color w:val="FF0000"/>
        </w:rPr>
        <w:t>Arkéa</w:t>
      </w:r>
      <w:proofErr w:type="spellEnd"/>
      <w:r>
        <w:rPr>
          <w:color w:val="FF0000"/>
        </w:rPr>
        <w:t xml:space="preserve"> Banque Entreprises et Institutionnels</w:t>
      </w:r>
      <w:r>
        <w:rPr>
          <w:color w:val="FF0000"/>
          <w:spacing w:val="-61"/>
        </w:rPr>
        <w:t xml:space="preserve"> </w:t>
      </w:r>
      <w:r>
        <w:rPr>
          <w:color w:val="FF0000"/>
        </w:rPr>
        <w:t>pour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l’acquisition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rénovation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l’hôtel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Chiberta</w:t>
      </w:r>
      <w:proofErr w:type="spellEnd"/>
      <w:r>
        <w:rPr>
          <w:color w:val="FF0000"/>
          <w:spacing w:val="3"/>
        </w:rPr>
        <w:t xml:space="preserve"> </w:t>
      </w:r>
      <w:r>
        <w:rPr>
          <w:color w:val="FF0000"/>
        </w:rPr>
        <w:t>(Pays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basque)</w:t>
      </w:r>
    </w:p>
    <w:p w:rsidR="001B0B39" w:rsidRDefault="001B0B39">
      <w:pPr>
        <w:pStyle w:val="Corpsdetexte"/>
        <w:spacing w:before="9"/>
        <w:rPr>
          <w:b/>
          <w:sz w:val="36"/>
        </w:rPr>
      </w:pPr>
    </w:p>
    <w:p w:rsidR="001B0B39" w:rsidRDefault="00C26DEA">
      <w:pPr>
        <w:pStyle w:val="Corpsdetexte"/>
        <w:spacing w:line="259" w:lineRule="auto"/>
        <w:ind w:left="216" w:right="272"/>
        <w:jc w:val="both"/>
      </w:pPr>
      <w:r>
        <w:rPr>
          <w:b/>
          <w:i/>
        </w:rPr>
        <w:t xml:space="preserve">Bayonne (64), le 3 décembre 2024 </w:t>
      </w:r>
      <w:r>
        <w:t xml:space="preserve">– Le Groupe Annie </w:t>
      </w:r>
      <w:proofErr w:type="spellStart"/>
      <w:r>
        <w:t>Famose</w:t>
      </w:r>
      <w:proofErr w:type="spellEnd"/>
      <w:r>
        <w:t>, dirigé par l’ancienne championne du</w:t>
      </w:r>
      <w:r>
        <w:rPr>
          <w:spacing w:val="1"/>
        </w:rPr>
        <w:t xml:space="preserve"> </w:t>
      </w:r>
      <w:r>
        <w:t>monde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slalom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médaillée</w:t>
      </w:r>
      <w:r>
        <w:rPr>
          <w:spacing w:val="1"/>
        </w:rPr>
        <w:t xml:space="preserve"> </w:t>
      </w:r>
      <w:r>
        <w:t>olympique</w:t>
      </w:r>
      <w:r>
        <w:rPr>
          <w:spacing w:val="1"/>
        </w:rPr>
        <w:t xml:space="preserve"> </w:t>
      </w:r>
      <w:r>
        <w:t>Annie</w:t>
      </w:r>
      <w:r>
        <w:rPr>
          <w:spacing w:val="1"/>
        </w:rPr>
        <w:t xml:space="preserve"> </w:t>
      </w:r>
      <w:proofErr w:type="spellStart"/>
      <w:r>
        <w:t>Famose</w:t>
      </w:r>
      <w:proofErr w:type="spellEnd"/>
      <w:r>
        <w:t>,</w:t>
      </w:r>
      <w:r>
        <w:rPr>
          <w:spacing w:val="1"/>
        </w:rPr>
        <w:t xml:space="preserve"> </w:t>
      </w:r>
      <w:r>
        <w:t>poursuit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s’appuyant sur le dispositif « PACT » d’</w:t>
      </w:r>
      <w:proofErr w:type="spellStart"/>
      <w:r>
        <w:t>Arkéa</w:t>
      </w:r>
      <w:proofErr w:type="spellEnd"/>
      <w:r>
        <w:t xml:space="preserve"> Banque Entreprises et Institu</w:t>
      </w:r>
      <w:r>
        <w:t>tionnels. Objectif : financer</w:t>
      </w:r>
      <w:r>
        <w:rPr>
          <w:spacing w:val="1"/>
        </w:rPr>
        <w:t xml:space="preserve"> </w:t>
      </w:r>
      <w:r>
        <w:t xml:space="preserve">l’acquisition et la transformation de l’hôtel de </w:t>
      </w:r>
      <w:proofErr w:type="spellStart"/>
      <w:r>
        <w:t>Chiberta</w:t>
      </w:r>
      <w:proofErr w:type="spellEnd"/>
      <w:r>
        <w:t xml:space="preserve"> à Anglet et accélérer son engagement ESG à</w:t>
      </w:r>
      <w:r>
        <w:rPr>
          <w:spacing w:val="1"/>
        </w:rPr>
        <w:t xml:space="preserve"> </w:t>
      </w:r>
      <w:r>
        <w:t>travers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crédit</w:t>
      </w:r>
      <w:r>
        <w:rPr>
          <w:spacing w:val="-1"/>
        </w:rPr>
        <w:t xml:space="preserve"> </w:t>
      </w:r>
      <w:r>
        <w:t>à impact</w:t>
      </w:r>
      <w:r>
        <w:rPr>
          <w:spacing w:val="-4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PACT</w:t>
      </w:r>
      <w:r>
        <w:rPr>
          <w:spacing w:val="-2"/>
        </w:rPr>
        <w:t xml:space="preserve"> </w:t>
      </w:r>
      <w:r>
        <w:t>Trajectoire</w:t>
      </w:r>
      <w:r>
        <w:rPr>
          <w:spacing w:val="-2"/>
        </w:rPr>
        <w:t xml:space="preserve"> </w:t>
      </w:r>
      <w:r>
        <w:t>ESG</w:t>
      </w:r>
      <w:r>
        <w:rPr>
          <w:spacing w:val="-1"/>
        </w:rPr>
        <w:t xml:space="preserve"> </w:t>
      </w:r>
      <w:r>
        <w:t>» de 1,5</w:t>
      </w:r>
      <w:r>
        <w:rPr>
          <w:spacing w:val="-2"/>
        </w:rPr>
        <w:t xml:space="preserve"> </w:t>
      </w:r>
      <w:r>
        <w:t>M€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prêt «</w:t>
      </w:r>
      <w:r>
        <w:rPr>
          <w:spacing w:val="-4"/>
        </w:rPr>
        <w:t xml:space="preserve"> </w:t>
      </w:r>
      <w:r>
        <w:t>PACT</w:t>
      </w:r>
      <w:r>
        <w:rPr>
          <w:spacing w:val="-2"/>
        </w:rPr>
        <w:t xml:space="preserve"> </w:t>
      </w:r>
      <w:r>
        <w:t>Carbone</w:t>
      </w:r>
      <w:r>
        <w:rPr>
          <w:spacing w:val="1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M€.</w:t>
      </w:r>
    </w:p>
    <w:p w:rsidR="001B0B39" w:rsidRDefault="00C26DEA">
      <w:pPr>
        <w:pStyle w:val="Corpsdetexte"/>
        <w:spacing w:before="158" w:line="259" w:lineRule="auto"/>
        <w:ind w:left="216" w:right="275"/>
        <w:jc w:val="both"/>
      </w:pPr>
      <w:r>
        <w:t>Ces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prêts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impact,</w:t>
      </w:r>
      <w:r>
        <w:rPr>
          <w:spacing w:val="1"/>
        </w:rPr>
        <w:t xml:space="preserve"> </w:t>
      </w:r>
      <w:r>
        <w:t>innovants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complémentaires,</w:t>
      </w:r>
      <w:r>
        <w:rPr>
          <w:spacing w:val="1"/>
        </w:rPr>
        <w:t xml:space="preserve"> </w:t>
      </w:r>
      <w:r>
        <w:t>prévoient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bonification</w:t>
      </w:r>
      <w:r>
        <w:rPr>
          <w:spacing w:val="1"/>
        </w:rPr>
        <w:t xml:space="preserve"> </w:t>
      </w:r>
      <w:r>
        <w:t>financière</w:t>
      </w:r>
      <w:r>
        <w:rPr>
          <w:spacing w:val="1"/>
        </w:rPr>
        <w:t xml:space="preserve"> </w:t>
      </w:r>
      <w:r>
        <w:t xml:space="preserve">conditionnée à la réduction de l’empreinte environnementale du Groupe Annie </w:t>
      </w:r>
      <w:proofErr w:type="spellStart"/>
      <w:r>
        <w:t>Famose</w:t>
      </w:r>
      <w:proofErr w:type="spellEnd"/>
      <w:r>
        <w:t>, lui offrant</w:t>
      </w:r>
      <w:r>
        <w:rPr>
          <w:spacing w:val="1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ressources</w:t>
      </w:r>
      <w:r>
        <w:rPr>
          <w:spacing w:val="-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croître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en intégrant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critères ESG ambitieux.</w:t>
      </w:r>
    </w:p>
    <w:p w:rsidR="001B0B39" w:rsidRDefault="00C26DEA">
      <w:pPr>
        <w:pStyle w:val="Corpsdetexte"/>
        <w:spacing w:before="159" w:line="259" w:lineRule="auto"/>
        <w:ind w:left="216" w:right="273"/>
        <w:jc w:val="both"/>
      </w:pPr>
      <w:r>
        <w:t>Le prêt « PACT Trajectoire ESG » s’inscrit dans le cadre de l’acquisition du prestigieux établissement 4</w:t>
      </w:r>
      <w:r>
        <w:rPr>
          <w:spacing w:val="-47"/>
        </w:rPr>
        <w:t xml:space="preserve"> </w:t>
      </w:r>
      <w:r>
        <w:t xml:space="preserve">étoiles et le prêt « PACT Carbone » accompagne les efforts de </w:t>
      </w:r>
      <w:proofErr w:type="spellStart"/>
      <w:r>
        <w:t>décarbonation</w:t>
      </w:r>
      <w:proofErr w:type="spellEnd"/>
      <w:r>
        <w:t xml:space="preserve"> du Groupe Annie</w:t>
      </w:r>
      <w:r>
        <w:rPr>
          <w:spacing w:val="1"/>
        </w:rPr>
        <w:t xml:space="preserve"> </w:t>
      </w:r>
      <w:proofErr w:type="spellStart"/>
      <w:r>
        <w:t>Famose</w:t>
      </w:r>
      <w:proofErr w:type="spellEnd"/>
      <w:r>
        <w:t xml:space="preserve">. Situé au cœur du golf de </w:t>
      </w:r>
      <w:proofErr w:type="spellStart"/>
      <w:r>
        <w:t>Chiberta</w:t>
      </w:r>
      <w:proofErr w:type="spellEnd"/>
      <w:r>
        <w:t>, l’hôtel compte 5</w:t>
      </w:r>
      <w:r>
        <w:t>8 chambres, un restaurant, plusieurs</w:t>
      </w:r>
      <w:r>
        <w:rPr>
          <w:spacing w:val="1"/>
        </w:rPr>
        <w:t xml:space="preserve"> </w:t>
      </w:r>
      <w:r>
        <w:t>salles de séminaires, un spa et deux piscines. Il entame une rénovation dès cet hiver autour d’un</w:t>
      </w:r>
      <w:r>
        <w:rPr>
          <w:spacing w:val="1"/>
        </w:rPr>
        <w:t xml:space="preserve"> </w:t>
      </w:r>
      <w:r>
        <w:t>nouveau positionnement. Il s’ajoutera à l’offre d’hospitalité haut de gamme du Groupe dans le Pays</w:t>
      </w:r>
      <w:r>
        <w:rPr>
          <w:spacing w:val="1"/>
        </w:rPr>
        <w:t xml:space="preserve"> </w:t>
      </w:r>
      <w:r>
        <w:t>basque.</w:t>
      </w:r>
    </w:p>
    <w:p w:rsidR="001B0B39" w:rsidRDefault="00C26DEA">
      <w:pPr>
        <w:pStyle w:val="Corpsdetexte"/>
        <w:spacing w:before="159" w:line="259" w:lineRule="auto"/>
        <w:ind w:left="216" w:right="273"/>
        <w:jc w:val="both"/>
      </w:pPr>
      <w:r>
        <w:t>Ainsi les fina</w:t>
      </w:r>
      <w:r>
        <w:t>ncements « PACT » d’</w:t>
      </w:r>
      <w:proofErr w:type="spellStart"/>
      <w:r>
        <w:t>Arkéa</w:t>
      </w:r>
      <w:proofErr w:type="spellEnd"/>
      <w:r>
        <w:t xml:space="preserve"> Banque Entreprises et Institutionnels accompagnent le</w:t>
      </w:r>
      <w:r>
        <w:rPr>
          <w:spacing w:val="1"/>
        </w:rPr>
        <w:t xml:space="preserve"> </w:t>
      </w:r>
      <w:r>
        <w:t xml:space="preserve">Groupe Annie </w:t>
      </w:r>
      <w:proofErr w:type="spellStart"/>
      <w:r>
        <w:t>Famose</w:t>
      </w:r>
      <w:proofErr w:type="spellEnd"/>
      <w:r>
        <w:t xml:space="preserve"> dans sa transition vers un modèle plus responsable et durable. D’ores et déjà,</w:t>
      </w:r>
      <w:r>
        <w:rPr>
          <w:spacing w:val="1"/>
        </w:rPr>
        <w:t xml:space="preserve"> </w:t>
      </w:r>
      <w:proofErr w:type="gramStart"/>
      <w:r>
        <w:t>le</w:t>
      </w:r>
      <w:proofErr w:type="gramEnd"/>
      <w:r>
        <w:t xml:space="preserve"> Groupe met en œuvre des actions ESG immédiates (« quick </w:t>
      </w:r>
      <w:proofErr w:type="spellStart"/>
      <w:r>
        <w:t>wins</w:t>
      </w:r>
      <w:proofErr w:type="spellEnd"/>
      <w:r>
        <w:t xml:space="preserve"> ») telles que</w:t>
      </w:r>
      <w:r>
        <w:t xml:space="preserve"> la réduction des</w:t>
      </w:r>
      <w:r>
        <w:rPr>
          <w:spacing w:val="1"/>
        </w:rPr>
        <w:t xml:space="preserve"> </w:t>
      </w:r>
      <w:r>
        <w:t>déchets</w:t>
      </w:r>
      <w:r>
        <w:rPr>
          <w:spacing w:val="49"/>
        </w:rPr>
        <w:t xml:space="preserve"> </w:t>
      </w:r>
      <w:r>
        <w:t>alimentaires,</w:t>
      </w:r>
      <w:r>
        <w:rPr>
          <w:spacing w:val="49"/>
        </w:rPr>
        <w:t xml:space="preserve"> </w:t>
      </w:r>
      <w:r>
        <w:t>l’utilisation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produits  éco-</w:t>
      </w:r>
      <w:proofErr w:type="spellStart"/>
      <w:r>
        <w:t>sourcés</w:t>
      </w:r>
      <w:proofErr w:type="spellEnd"/>
      <w:r>
        <w:rPr>
          <w:spacing w:val="47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soutien</w:t>
      </w:r>
      <w:r>
        <w:rPr>
          <w:spacing w:val="48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des  initiatives</w:t>
      </w:r>
      <w:r>
        <w:rPr>
          <w:spacing w:val="49"/>
        </w:rPr>
        <w:t xml:space="preserve"> </w:t>
      </w:r>
      <w:r>
        <w:t>comme</w:t>
      </w:r>
    </w:p>
    <w:p w:rsidR="001B0B39" w:rsidRDefault="00C26DEA">
      <w:pPr>
        <w:pStyle w:val="Corpsdetexte"/>
        <w:spacing w:line="268" w:lineRule="exact"/>
        <w:ind w:left="216"/>
        <w:jc w:val="both"/>
      </w:pPr>
      <w:r>
        <w:t>«Octobre</w:t>
      </w:r>
      <w:r>
        <w:rPr>
          <w:spacing w:val="-4"/>
        </w:rPr>
        <w:t xml:space="preserve"> </w:t>
      </w:r>
      <w:r>
        <w:t>Rose».</w:t>
      </w:r>
    </w:p>
    <w:p w:rsidR="001B0B39" w:rsidRDefault="001B0B39">
      <w:pPr>
        <w:pStyle w:val="Corpsdetexte"/>
      </w:pPr>
    </w:p>
    <w:p w:rsidR="001B0B39" w:rsidRDefault="001B0B39">
      <w:pPr>
        <w:pStyle w:val="Corpsdetexte"/>
        <w:spacing w:before="9"/>
        <w:rPr>
          <w:sz w:val="29"/>
        </w:rPr>
      </w:pPr>
    </w:p>
    <w:p w:rsidR="001B0B39" w:rsidRDefault="00C26DEA">
      <w:pPr>
        <w:ind w:left="216" w:right="273"/>
        <w:jc w:val="both"/>
      </w:pPr>
      <w:r>
        <w:rPr>
          <w:b/>
          <w:color w:val="212121"/>
        </w:rPr>
        <w:t xml:space="preserve">Sarah </w:t>
      </w:r>
      <w:proofErr w:type="spellStart"/>
      <w:r>
        <w:rPr>
          <w:b/>
          <w:color w:val="212121"/>
        </w:rPr>
        <w:t>Brémond</w:t>
      </w:r>
      <w:proofErr w:type="spellEnd"/>
      <w:r>
        <w:rPr>
          <w:b/>
          <w:color w:val="212121"/>
        </w:rPr>
        <w:t xml:space="preserve">, Directrice générale du </w:t>
      </w:r>
      <w:r>
        <w:rPr>
          <w:b/>
        </w:rPr>
        <w:t xml:space="preserve">Groupe Annie </w:t>
      </w:r>
      <w:proofErr w:type="spellStart"/>
      <w:r>
        <w:rPr>
          <w:b/>
        </w:rPr>
        <w:t>Famose</w:t>
      </w:r>
      <w:proofErr w:type="spellEnd"/>
      <w:r>
        <w:rPr>
          <w:b/>
        </w:rPr>
        <w:t xml:space="preserve">, indique </w:t>
      </w:r>
      <w:r>
        <w:t xml:space="preserve">: « </w:t>
      </w:r>
      <w:r>
        <w:rPr>
          <w:i/>
        </w:rPr>
        <w:t>Grâce aux financements</w:t>
      </w:r>
      <w:r>
        <w:rPr>
          <w:i/>
          <w:spacing w:val="1"/>
        </w:rPr>
        <w:t xml:space="preserve"> </w:t>
      </w:r>
      <w:r>
        <w:rPr>
          <w:i/>
        </w:rPr>
        <w:t>accordés</w:t>
      </w:r>
      <w:r>
        <w:rPr>
          <w:i/>
          <w:spacing w:val="1"/>
        </w:rPr>
        <w:t xml:space="preserve"> </w:t>
      </w:r>
      <w:r>
        <w:rPr>
          <w:i/>
        </w:rPr>
        <w:t>par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Banque</w:t>
      </w:r>
      <w:r>
        <w:rPr>
          <w:i/>
          <w:spacing w:val="1"/>
        </w:rPr>
        <w:t xml:space="preserve"> </w:t>
      </w:r>
      <w:r>
        <w:rPr>
          <w:i/>
        </w:rPr>
        <w:t>Entreprises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Institutionnels,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avons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moyens</w:t>
      </w:r>
      <w:r>
        <w:rPr>
          <w:i/>
          <w:spacing w:val="1"/>
        </w:rPr>
        <w:t xml:space="preserve"> </w:t>
      </w:r>
      <w:r>
        <w:rPr>
          <w:i/>
        </w:rPr>
        <w:t>d’inscrire</w:t>
      </w:r>
      <w:r>
        <w:rPr>
          <w:i/>
          <w:spacing w:val="1"/>
        </w:rPr>
        <w:t xml:space="preserve"> </w:t>
      </w:r>
      <w:r>
        <w:rPr>
          <w:i/>
        </w:rPr>
        <w:t>durablement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groupe</w:t>
      </w:r>
      <w:r>
        <w:rPr>
          <w:i/>
          <w:spacing w:val="1"/>
        </w:rPr>
        <w:t xml:space="preserve"> </w:t>
      </w:r>
      <w:r>
        <w:rPr>
          <w:i/>
        </w:rPr>
        <w:t>dans</w:t>
      </w:r>
      <w:r>
        <w:rPr>
          <w:i/>
          <w:spacing w:val="1"/>
        </w:rPr>
        <w:t xml:space="preserve"> </w:t>
      </w:r>
      <w:r>
        <w:rPr>
          <w:i/>
        </w:rPr>
        <w:t>une</w:t>
      </w:r>
      <w:r>
        <w:rPr>
          <w:i/>
          <w:spacing w:val="1"/>
        </w:rPr>
        <w:t xml:space="preserve"> </w:t>
      </w:r>
      <w:r>
        <w:rPr>
          <w:i/>
        </w:rPr>
        <w:t>dynamique</w:t>
      </w:r>
      <w:r>
        <w:rPr>
          <w:i/>
          <w:spacing w:val="1"/>
        </w:rPr>
        <w:t xml:space="preserve"> </w:t>
      </w:r>
      <w:r>
        <w:rPr>
          <w:i/>
        </w:rPr>
        <w:t>responsable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ambitieuse.</w:t>
      </w:r>
      <w:r>
        <w:rPr>
          <w:i/>
          <w:spacing w:val="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nouveaux</w:t>
      </w:r>
      <w:r>
        <w:rPr>
          <w:i/>
          <w:spacing w:val="1"/>
        </w:rPr>
        <w:t xml:space="preserve"> </w:t>
      </w:r>
      <w:r>
        <w:rPr>
          <w:i/>
        </w:rPr>
        <w:t>financements nous permettent de faire évoluer nos infrastructures pour répondre aux attentes de nos</w:t>
      </w:r>
      <w:r>
        <w:rPr>
          <w:i/>
          <w:spacing w:val="1"/>
        </w:rPr>
        <w:t xml:space="preserve"> </w:t>
      </w:r>
      <w:r>
        <w:rPr>
          <w:i/>
        </w:rPr>
        <w:t>clients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tout</w:t>
      </w:r>
      <w:r>
        <w:rPr>
          <w:i/>
          <w:spacing w:val="-2"/>
        </w:rPr>
        <w:t xml:space="preserve"> </w:t>
      </w:r>
      <w:r>
        <w:rPr>
          <w:i/>
        </w:rPr>
        <w:t>en intégrant des critères</w:t>
      </w:r>
      <w:r>
        <w:rPr>
          <w:i/>
          <w:spacing w:val="1"/>
        </w:rPr>
        <w:t xml:space="preserve"> </w:t>
      </w:r>
      <w:r>
        <w:rPr>
          <w:i/>
        </w:rPr>
        <w:t>environnementaux essentiels</w:t>
      </w:r>
      <w:r>
        <w:t>. »</w:t>
      </w:r>
    </w:p>
    <w:p w:rsidR="001B0B39" w:rsidRDefault="001B0B39">
      <w:pPr>
        <w:pStyle w:val="Corpsdetexte"/>
        <w:spacing w:before="11"/>
        <w:rPr>
          <w:sz w:val="21"/>
        </w:rPr>
      </w:pPr>
    </w:p>
    <w:p w:rsidR="001B0B39" w:rsidRDefault="00C26DEA">
      <w:pPr>
        <w:ind w:left="216" w:right="274"/>
        <w:jc w:val="both"/>
      </w:pPr>
      <w:r>
        <w:rPr>
          <w:b/>
        </w:rPr>
        <w:t xml:space="preserve">Geoffrey </w:t>
      </w:r>
      <w:proofErr w:type="spellStart"/>
      <w:r>
        <w:rPr>
          <w:b/>
        </w:rPr>
        <w:t>Lintanf</w:t>
      </w:r>
      <w:proofErr w:type="spellEnd"/>
      <w:r>
        <w:rPr>
          <w:b/>
        </w:rPr>
        <w:t xml:space="preserve">, Responsable de </w:t>
      </w:r>
      <w:proofErr w:type="gramStart"/>
      <w:r>
        <w:rPr>
          <w:b/>
        </w:rPr>
        <w:t>clientèle entreprises au centre d'affaires de Bayonne d’</w:t>
      </w:r>
      <w:proofErr w:type="spellStart"/>
      <w:r>
        <w:rPr>
          <w:b/>
        </w:rPr>
        <w:t>Arkéa</w:t>
      </w:r>
      <w:proofErr w:type="spellEnd"/>
      <w:proofErr w:type="gramEnd"/>
      <w:r>
        <w:rPr>
          <w:b/>
          <w:spacing w:val="1"/>
        </w:rPr>
        <w:t xml:space="preserve"> </w:t>
      </w:r>
      <w:r>
        <w:rPr>
          <w:b/>
        </w:rPr>
        <w:t xml:space="preserve">Banque Entreprises et Institutionnels, souligne : </w:t>
      </w:r>
      <w:r>
        <w:t xml:space="preserve">« </w:t>
      </w:r>
      <w:r>
        <w:rPr>
          <w:i/>
        </w:rPr>
        <w:t>Nous sommes fiers d’accompagner le Groupe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</w:rPr>
        <w:t>nie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Famose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dans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transition</w:t>
      </w:r>
      <w:r>
        <w:rPr>
          <w:i/>
          <w:spacing w:val="1"/>
        </w:rPr>
        <w:t xml:space="preserve"> </w:t>
      </w:r>
      <w:r>
        <w:rPr>
          <w:i/>
        </w:rPr>
        <w:t>vers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modèle</w:t>
      </w:r>
      <w:r>
        <w:rPr>
          <w:i/>
          <w:spacing w:val="1"/>
        </w:rPr>
        <w:t xml:space="preserve"> </w:t>
      </w:r>
      <w:r>
        <w:rPr>
          <w:i/>
        </w:rPr>
        <w:t>hôtelier</w:t>
      </w:r>
      <w:r>
        <w:rPr>
          <w:i/>
          <w:spacing w:val="1"/>
        </w:rPr>
        <w:t xml:space="preserve"> </w:t>
      </w:r>
      <w:r>
        <w:rPr>
          <w:i/>
        </w:rPr>
        <w:t>durable,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allie</w:t>
      </w:r>
      <w:r>
        <w:rPr>
          <w:i/>
          <w:spacing w:val="1"/>
        </w:rPr>
        <w:t xml:space="preserve"> </w:t>
      </w:r>
      <w:r>
        <w:rPr>
          <w:i/>
        </w:rPr>
        <w:t>performance</w:t>
      </w:r>
      <w:r>
        <w:rPr>
          <w:i/>
          <w:spacing w:val="1"/>
        </w:rPr>
        <w:t xml:space="preserve"> </w:t>
      </w:r>
      <w:r>
        <w:rPr>
          <w:i/>
        </w:rPr>
        <w:t>économique et responsabilité environnementale. Ce partenariat de longue date témoigne de notre</w:t>
      </w:r>
      <w:r>
        <w:rPr>
          <w:i/>
          <w:spacing w:val="1"/>
        </w:rPr>
        <w:t xml:space="preserve"> </w:t>
      </w:r>
      <w:r>
        <w:rPr>
          <w:i/>
        </w:rPr>
        <w:t>engagement à financer des projets qui non seulement soutiennent la croissance de nos clients, mais</w:t>
      </w:r>
      <w:r>
        <w:rPr>
          <w:i/>
          <w:spacing w:val="1"/>
        </w:rPr>
        <w:t xml:space="preserve"> </w:t>
      </w:r>
      <w:r>
        <w:rPr>
          <w:i/>
        </w:rPr>
        <w:t>contribuent</w:t>
      </w:r>
      <w:r>
        <w:rPr>
          <w:i/>
          <w:spacing w:val="-1"/>
        </w:rPr>
        <w:t xml:space="preserve"> </w:t>
      </w:r>
      <w:r>
        <w:rPr>
          <w:i/>
        </w:rPr>
        <w:t>aussi</w:t>
      </w:r>
      <w:r>
        <w:rPr>
          <w:i/>
          <w:spacing w:val="-3"/>
        </w:rPr>
        <w:t xml:space="preserve"> </w:t>
      </w:r>
      <w:r>
        <w:rPr>
          <w:i/>
        </w:rPr>
        <w:t>à un</w:t>
      </w:r>
      <w:r>
        <w:rPr>
          <w:i/>
          <w:spacing w:val="-1"/>
        </w:rPr>
        <w:t xml:space="preserve"> </w:t>
      </w:r>
      <w:r>
        <w:rPr>
          <w:i/>
        </w:rPr>
        <w:t>avenir plus vert.</w:t>
      </w:r>
      <w:r>
        <w:rPr>
          <w:i/>
          <w:spacing w:val="-1"/>
        </w:rPr>
        <w:t xml:space="preserve"> </w:t>
      </w:r>
      <w:r>
        <w:t>»</w:t>
      </w:r>
    </w:p>
    <w:p w:rsidR="001B0B39" w:rsidRDefault="001B0B39">
      <w:pPr>
        <w:jc w:val="both"/>
        <w:sectPr w:rsidR="001B0B39">
          <w:type w:val="continuous"/>
          <w:pgSz w:w="11910" w:h="16840"/>
          <w:pgMar w:top="1040" w:right="1140" w:bottom="280" w:left="1200" w:header="720" w:footer="720" w:gutter="0"/>
          <w:cols w:space="720"/>
        </w:sectPr>
      </w:pPr>
    </w:p>
    <w:p w:rsidR="001B0B39" w:rsidRDefault="001B0B39">
      <w:pPr>
        <w:pStyle w:val="Corpsdetexte"/>
        <w:spacing w:before="11"/>
        <w:rPr>
          <w:sz w:val="18"/>
        </w:rPr>
      </w:pPr>
    </w:p>
    <w:p w:rsidR="00C26DEA" w:rsidRDefault="00C26DEA" w:rsidP="00C26DEA">
      <w:pPr>
        <w:spacing w:before="18"/>
        <w:ind w:left="107" w:right="107"/>
        <w:jc w:val="both"/>
        <w:rPr>
          <w:b/>
        </w:rPr>
      </w:pPr>
      <w:r>
        <w:rPr>
          <w:b/>
        </w:rPr>
        <w:t>Le prêt à impact « PACT Trajectoire ESG » : pour conjuguer performances financières et extra</w:t>
      </w:r>
      <w:r>
        <w:rPr>
          <w:b/>
          <w:spacing w:val="1"/>
        </w:rPr>
        <w:t xml:space="preserve"> </w:t>
      </w:r>
      <w:r>
        <w:rPr>
          <w:b/>
        </w:rPr>
        <w:t>financières</w:t>
      </w:r>
    </w:p>
    <w:p w:rsidR="00C26DEA" w:rsidRDefault="00C26DEA" w:rsidP="00C26DEA">
      <w:pPr>
        <w:pStyle w:val="Corpsdetexte"/>
        <w:ind w:left="107" w:right="103"/>
        <w:jc w:val="both"/>
      </w:pPr>
      <w:r>
        <w:t>Accessible dès 2 M€</w:t>
      </w:r>
      <w:r>
        <w:rPr>
          <w:spacing w:val="1"/>
        </w:rPr>
        <w:t xml:space="preserve"> </w:t>
      </w:r>
      <w:r>
        <w:t>sur une</w:t>
      </w:r>
      <w:r>
        <w:rPr>
          <w:spacing w:val="1"/>
        </w:rPr>
        <w:t xml:space="preserve"> </w:t>
      </w:r>
      <w:r>
        <w:t>durée</w:t>
      </w:r>
      <w:r>
        <w:rPr>
          <w:spacing w:val="1"/>
        </w:rPr>
        <w:t xml:space="preserve"> </w:t>
      </w:r>
      <w:r>
        <w:t>comprise entre 5 et 20 ans, le prêt</w:t>
      </w:r>
      <w:r>
        <w:rPr>
          <w:spacing w:val="1"/>
        </w:rPr>
        <w:t xml:space="preserve"> </w:t>
      </w:r>
      <w:r>
        <w:t>à impact</w:t>
      </w:r>
      <w:r>
        <w:rPr>
          <w:spacing w:val="49"/>
        </w:rPr>
        <w:t xml:space="preserve"> </w:t>
      </w:r>
      <w:r>
        <w:t>« PACT Trajectoire</w:t>
      </w:r>
      <w:r>
        <w:rPr>
          <w:spacing w:val="1"/>
        </w:rPr>
        <w:t xml:space="preserve"> </w:t>
      </w:r>
      <w:r>
        <w:t>ESG » prévoit une bonification pouvant atteindre jusqu’à 20 % d’économie sur les frais financiers, si</w:t>
      </w:r>
      <w:r>
        <w:rPr>
          <w:spacing w:val="1"/>
        </w:rPr>
        <w:t xml:space="preserve"> </w:t>
      </w:r>
      <w:r>
        <w:t>l’emprunteur améliore ses performances ESG (environnement, social et gouvernance) suivant des</w:t>
      </w:r>
      <w:r>
        <w:rPr>
          <w:spacing w:val="1"/>
        </w:rPr>
        <w:t xml:space="preserve"> </w:t>
      </w:r>
      <w:r>
        <w:t>critères prédéterminés. Afin de garantir la neutralité des évaluations, « PACT Trajectoire ESG»</w:t>
      </w:r>
      <w:r>
        <w:rPr>
          <w:spacing w:val="1"/>
        </w:rPr>
        <w:t xml:space="preserve"> </w:t>
      </w:r>
      <w:r>
        <w:t xml:space="preserve">s’appuie sur l’agence indépendante d’analyse extra-financière </w:t>
      </w:r>
      <w:proofErr w:type="spellStart"/>
      <w:r>
        <w:t>EthiFinance</w:t>
      </w:r>
      <w:proofErr w:type="spellEnd"/>
      <w:r>
        <w:t>. Celle-ci mesurera les</w:t>
      </w:r>
      <w:r>
        <w:rPr>
          <w:spacing w:val="1"/>
        </w:rPr>
        <w:t xml:space="preserve"> </w:t>
      </w:r>
      <w:r>
        <w:t>progrès annuels qui feront l’objet d’un rapport remis et commenté au client par la banque. Lancé en</w:t>
      </w:r>
      <w:r>
        <w:rPr>
          <w:spacing w:val="1"/>
        </w:rPr>
        <w:t xml:space="preserve"> </w:t>
      </w:r>
      <w:r>
        <w:t>février 2020, le dispositif PACT a déjà convaincu près de 200 acteurs économiques publics et privés</w:t>
      </w:r>
      <w:r>
        <w:rPr>
          <w:spacing w:val="1"/>
        </w:rPr>
        <w:t xml:space="preserve"> </w:t>
      </w:r>
      <w:r>
        <w:t>pour un</w:t>
      </w:r>
      <w:r>
        <w:rPr>
          <w:spacing w:val="-2"/>
        </w:rPr>
        <w:t xml:space="preserve"> </w:t>
      </w:r>
      <w:r>
        <w:t>total de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milliard</w:t>
      </w:r>
      <w:r>
        <w:rPr>
          <w:spacing w:val="-3"/>
        </w:rPr>
        <w:t xml:space="preserve"> </w:t>
      </w:r>
      <w:r>
        <w:t>d’euros.</w:t>
      </w:r>
    </w:p>
    <w:p w:rsidR="001B0B39" w:rsidRDefault="001B0B39">
      <w:pPr>
        <w:pStyle w:val="Corpsdetexte"/>
        <w:rPr>
          <w:sz w:val="20"/>
        </w:rPr>
      </w:pPr>
    </w:p>
    <w:p w:rsidR="00C26DEA" w:rsidRDefault="00C26DEA" w:rsidP="00C26DEA">
      <w:pPr>
        <w:spacing w:before="18" w:line="267" w:lineRule="exact"/>
        <w:ind w:left="107"/>
        <w:jc w:val="both"/>
        <w:rPr>
          <w:b/>
        </w:rPr>
      </w:pP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prêt</w:t>
      </w:r>
      <w:r>
        <w:rPr>
          <w:b/>
          <w:spacing w:val="-1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rPr>
          <w:b/>
          <w:spacing w:val="-2"/>
        </w:rPr>
        <w:t xml:space="preserve"> </w:t>
      </w:r>
      <w:r>
        <w:rPr>
          <w:b/>
        </w:rPr>
        <w:t>PACT</w:t>
      </w:r>
      <w:r>
        <w:rPr>
          <w:b/>
          <w:spacing w:val="-3"/>
        </w:rPr>
        <w:t xml:space="preserve"> </w:t>
      </w:r>
      <w:r>
        <w:rPr>
          <w:b/>
        </w:rPr>
        <w:t>Carbone</w:t>
      </w:r>
      <w:r>
        <w:rPr>
          <w:b/>
          <w:spacing w:val="-2"/>
        </w:rPr>
        <w:t xml:space="preserve"> </w:t>
      </w:r>
      <w:r>
        <w:rPr>
          <w:b/>
        </w:rPr>
        <w:t>» 100%</w:t>
      </w:r>
      <w:r>
        <w:rPr>
          <w:b/>
          <w:spacing w:val="-1"/>
        </w:rPr>
        <w:t xml:space="preserve"> </w:t>
      </w:r>
      <w:r>
        <w:rPr>
          <w:b/>
        </w:rPr>
        <w:t>dédié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décarbonation</w:t>
      </w:r>
      <w:proofErr w:type="spellEnd"/>
    </w:p>
    <w:p w:rsidR="00C26DEA" w:rsidRDefault="00C26DEA" w:rsidP="00C26DEA">
      <w:pPr>
        <w:pStyle w:val="Corpsdetexte"/>
        <w:ind w:left="107" w:right="102"/>
        <w:jc w:val="both"/>
      </w:pPr>
      <w:r>
        <w:t>Accessible dès 2 M€ sur une durée comprise entre 5 et 20 ans, le prêt « PACT Carbone » prévoit une</w:t>
      </w:r>
      <w:r>
        <w:rPr>
          <w:spacing w:val="1"/>
        </w:rPr>
        <w:t xml:space="preserve"> </w:t>
      </w:r>
      <w:r>
        <w:t>bonification si l’emprunteur réduit l’intensité carbone de son modèle d’affaires. De plus, une sur-</w:t>
      </w:r>
      <w:r>
        <w:rPr>
          <w:spacing w:val="1"/>
        </w:rPr>
        <w:t xml:space="preserve"> </w:t>
      </w:r>
      <w:r>
        <w:t>bonification est également prévue pour les clients qui parviennent à s’aligner avec la trajectoire 1,5</w:t>
      </w:r>
      <w:r>
        <w:rPr>
          <w:spacing w:val="1"/>
        </w:rPr>
        <w:t xml:space="preserve"> </w:t>
      </w:r>
      <w:r>
        <w:t>degré de l’accord de Paris ; l’ensemble des bonifications pouvant atteindre jusqu’à 20% d’économie</w:t>
      </w:r>
      <w:r>
        <w:rPr>
          <w:spacing w:val="1"/>
        </w:rPr>
        <w:t xml:space="preserve"> </w:t>
      </w:r>
      <w:r>
        <w:t>sur les frais financiers. Afin de garantir la neutralité des évaluations, « PACT Carbone »</w:t>
      </w:r>
      <w:r>
        <w:rPr>
          <w:spacing w:val="49"/>
        </w:rPr>
        <w:t xml:space="preserve"> </w:t>
      </w:r>
      <w:r>
        <w:t>s’appuie sur</w:t>
      </w:r>
      <w:r>
        <w:rPr>
          <w:spacing w:val="1"/>
        </w:rPr>
        <w:t xml:space="preserve"> </w:t>
      </w:r>
      <w:r>
        <w:t>un organisme indépendant. Celui-ci mesurera les progrès biannuels de l’entreprise, qui feront l’objet</w:t>
      </w:r>
      <w:r>
        <w:rPr>
          <w:spacing w:val="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rapport remis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commenté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client par la</w:t>
      </w:r>
      <w:r>
        <w:rPr>
          <w:spacing w:val="-3"/>
        </w:rPr>
        <w:t xml:space="preserve"> </w:t>
      </w:r>
      <w:r>
        <w:t>banque.</w:t>
      </w:r>
    </w:p>
    <w:p w:rsidR="001B0B39" w:rsidRDefault="001B0B39">
      <w:pPr>
        <w:pStyle w:val="Corpsdetexte"/>
        <w:spacing w:before="6"/>
        <w:rPr>
          <w:sz w:val="17"/>
        </w:rPr>
      </w:pPr>
    </w:p>
    <w:p w:rsidR="001B0B39" w:rsidRDefault="00C26DEA">
      <w:pPr>
        <w:spacing w:before="60"/>
        <w:ind w:left="216"/>
        <w:jc w:val="both"/>
        <w:rPr>
          <w:b/>
          <w:sz w:val="20"/>
        </w:rPr>
      </w:pPr>
      <w:r>
        <w:rPr>
          <w:b/>
          <w:sz w:val="20"/>
          <w:u w:val="single"/>
        </w:rPr>
        <w:t>À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du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Groupe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Annie</w:t>
      </w:r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Famose</w:t>
      </w:r>
      <w:proofErr w:type="spellEnd"/>
    </w:p>
    <w:p w:rsidR="001B0B39" w:rsidRDefault="00C26DEA">
      <w:pPr>
        <w:ind w:left="216" w:right="274"/>
        <w:jc w:val="both"/>
        <w:rPr>
          <w:sz w:val="20"/>
        </w:rPr>
      </w:pPr>
      <w:r>
        <w:rPr>
          <w:color w:val="212121"/>
          <w:sz w:val="20"/>
        </w:rPr>
        <w:t>Le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Groupe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Annie</w:t>
      </w:r>
      <w:r>
        <w:rPr>
          <w:color w:val="212121"/>
          <w:spacing w:val="1"/>
          <w:sz w:val="20"/>
        </w:rPr>
        <w:t xml:space="preserve"> </w:t>
      </w:r>
      <w:proofErr w:type="spellStart"/>
      <w:r>
        <w:rPr>
          <w:color w:val="212121"/>
          <w:sz w:val="20"/>
        </w:rPr>
        <w:t>Famose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dirigé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par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Sarah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et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David</w:t>
      </w:r>
      <w:r>
        <w:rPr>
          <w:color w:val="212121"/>
          <w:spacing w:val="1"/>
          <w:sz w:val="20"/>
        </w:rPr>
        <w:t xml:space="preserve"> </w:t>
      </w:r>
      <w:proofErr w:type="spellStart"/>
      <w:r>
        <w:rPr>
          <w:color w:val="212121"/>
          <w:sz w:val="20"/>
        </w:rPr>
        <w:t>Brémond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dispose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d’un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portefeuille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plus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40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restaurants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et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hôtels,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d’un savoir-faire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reconnu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dans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l’industrie du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ski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-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via le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groupe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SKISET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(</w:t>
      </w:r>
      <w:proofErr w:type="spellStart"/>
      <w:r>
        <w:rPr>
          <w:color w:val="212121"/>
          <w:sz w:val="20"/>
        </w:rPr>
        <w:t>Skiset</w:t>
      </w:r>
      <w:proofErr w:type="spellEnd"/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et</w:t>
      </w:r>
      <w:r>
        <w:rPr>
          <w:color w:val="212121"/>
          <w:spacing w:val="3"/>
          <w:sz w:val="20"/>
        </w:rPr>
        <w:t xml:space="preserve"> </w:t>
      </w:r>
      <w:proofErr w:type="spellStart"/>
      <w:r>
        <w:rPr>
          <w:color w:val="212121"/>
          <w:sz w:val="20"/>
        </w:rPr>
        <w:t>Skimium</w:t>
      </w:r>
      <w:proofErr w:type="spellEnd"/>
      <w:r>
        <w:rPr>
          <w:color w:val="212121"/>
          <w:sz w:val="20"/>
        </w:rPr>
        <w:t>)</w:t>
      </w:r>
    </w:p>
    <w:p w:rsidR="001B0B39" w:rsidRDefault="00C26DEA">
      <w:pPr>
        <w:ind w:left="216" w:right="273"/>
        <w:jc w:val="both"/>
        <w:rPr>
          <w:sz w:val="20"/>
        </w:rPr>
      </w:pPr>
      <w:r>
        <w:rPr>
          <w:color w:val="212121"/>
          <w:sz w:val="20"/>
        </w:rPr>
        <w:t>- et des loisirs, avec un pôle de magasins à Avoriaz. Il est désormais un acteur incontournable des activités de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tourisme et de restauration en France, implanté à Saint-Tropez, Biarritz, Megève, Courchevel, Av</w:t>
      </w:r>
      <w:r>
        <w:rPr>
          <w:color w:val="212121"/>
          <w:sz w:val="20"/>
        </w:rPr>
        <w:t>oriaz et Saint-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Barthélemy. Fin 2024, le Groupe étendra ses activités dans les Alpes Suisses à Gstaad et Crans-Montana et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ouvrira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son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premier restaurant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parisien, en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partenariat avec le groupe</w:t>
      </w:r>
      <w:r>
        <w:rPr>
          <w:color w:val="212121"/>
          <w:spacing w:val="-2"/>
          <w:sz w:val="20"/>
        </w:rPr>
        <w:t xml:space="preserve"> </w:t>
      </w:r>
      <w:proofErr w:type="spellStart"/>
      <w:r>
        <w:rPr>
          <w:color w:val="212121"/>
          <w:sz w:val="20"/>
        </w:rPr>
        <w:t>Blackcode</w:t>
      </w:r>
      <w:proofErr w:type="spellEnd"/>
      <w:r>
        <w:rPr>
          <w:color w:val="212121"/>
          <w:sz w:val="20"/>
        </w:rPr>
        <w:t>.</w:t>
      </w:r>
    </w:p>
    <w:p w:rsidR="001B0B39" w:rsidRDefault="00C26DEA">
      <w:pPr>
        <w:ind w:left="216"/>
        <w:jc w:val="both"/>
        <w:rPr>
          <w:sz w:val="20"/>
        </w:rPr>
      </w:pPr>
      <w:r>
        <w:rPr>
          <w:sz w:val="20"/>
        </w:rPr>
        <w:t>Plus</w:t>
      </w:r>
      <w:r>
        <w:rPr>
          <w:spacing w:val="-6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hyperlink r:id="rId5">
        <w:r>
          <w:rPr>
            <w:color w:val="1154CC"/>
            <w:sz w:val="20"/>
            <w:u w:val="single" w:color="1154CC"/>
          </w:rPr>
          <w:t>Site du groupe Annie Famose</w:t>
        </w:r>
      </w:hyperlink>
      <w:bookmarkStart w:id="0" w:name="_GoBack"/>
      <w:bookmarkEnd w:id="0"/>
    </w:p>
    <w:p w:rsidR="001B0B39" w:rsidRDefault="001B0B39">
      <w:pPr>
        <w:pStyle w:val="Corpsdetexte"/>
        <w:rPr>
          <w:sz w:val="20"/>
        </w:rPr>
      </w:pPr>
    </w:p>
    <w:p w:rsidR="001B0B39" w:rsidRDefault="001B0B39">
      <w:pPr>
        <w:pStyle w:val="Corpsdetexte"/>
        <w:spacing w:before="1"/>
        <w:rPr>
          <w:sz w:val="15"/>
        </w:rPr>
      </w:pPr>
    </w:p>
    <w:p w:rsidR="001B0B39" w:rsidRDefault="00C26DEA">
      <w:pPr>
        <w:spacing w:before="59"/>
        <w:ind w:left="216"/>
        <w:jc w:val="both"/>
        <w:rPr>
          <w:b/>
          <w:sz w:val="20"/>
        </w:rPr>
      </w:pP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Institutionnels</w:t>
      </w:r>
    </w:p>
    <w:p w:rsidR="001B0B39" w:rsidRDefault="00C26DEA">
      <w:pPr>
        <w:spacing w:before="1"/>
        <w:ind w:left="216" w:right="278"/>
        <w:jc w:val="both"/>
        <w:rPr>
          <w:sz w:val="20"/>
        </w:rPr>
      </w:pPr>
      <w:hyperlink r:id="rId6">
        <w:proofErr w:type="spellStart"/>
        <w:r>
          <w:rPr>
            <w:sz w:val="20"/>
          </w:rPr>
          <w:t>Arkéa</w:t>
        </w:r>
        <w:proofErr w:type="spellEnd"/>
        <w:r>
          <w:rPr>
            <w:sz w:val="20"/>
          </w:rPr>
          <w:t xml:space="preserve"> Banque Entreprises et Institutionnels </w:t>
        </w:r>
      </w:hyperlink>
      <w:r>
        <w:rPr>
          <w:sz w:val="20"/>
        </w:rPr>
        <w:t xml:space="preserve">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 ETI), des acteurs publics et institutionnels locaux et des professionnels de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 accompagne 15</w:t>
      </w:r>
      <w:r>
        <w:rPr>
          <w:spacing w:val="1"/>
          <w:sz w:val="20"/>
        </w:rPr>
        <w:t xml:space="preserve"> </w:t>
      </w:r>
      <w:r>
        <w:rPr>
          <w:sz w:val="20"/>
        </w:rPr>
        <w:t>000</w:t>
      </w:r>
      <w:r>
        <w:rPr>
          <w:spacing w:val="1"/>
          <w:sz w:val="20"/>
        </w:rPr>
        <w:t xml:space="preserve"> </w:t>
      </w:r>
      <w:r>
        <w:rPr>
          <w:sz w:val="20"/>
        </w:rPr>
        <w:t>acteurs économiques partout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France à</w:t>
      </w:r>
      <w:r>
        <w:rPr>
          <w:spacing w:val="1"/>
          <w:sz w:val="20"/>
        </w:rPr>
        <w:t xml:space="preserve"> </w:t>
      </w:r>
      <w:r>
        <w:rPr>
          <w:sz w:val="20"/>
        </w:rPr>
        <w:t>travers ses</w:t>
      </w:r>
      <w:r>
        <w:rPr>
          <w:spacing w:val="1"/>
          <w:sz w:val="20"/>
        </w:rPr>
        <w:t xml:space="preserve"> </w:t>
      </w:r>
      <w:r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1"/>
          <w:sz w:val="20"/>
        </w:rPr>
        <w:t xml:space="preserve"> </w:t>
      </w:r>
      <w:r>
        <w:rPr>
          <w:sz w:val="20"/>
        </w:rPr>
        <w:t>Elle</w:t>
      </w:r>
      <w:r>
        <w:rPr>
          <w:spacing w:val="1"/>
          <w:sz w:val="20"/>
        </w:rPr>
        <w:t xml:space="preserve"> </w:t>
      </w:r>
      <w:r>
        <w:rPr>
          <w:sz w:val="20"/>
        </w:rPr>
        <w:t>propose à ses clients une offre complète (f</w:t>
      </w:r>
      <w:r>
        <w:rPr>
          <w:sz w:val="20"/>
        </w:rPr>
        <w:t>inancements, traitement des flux, moyens de paiement, épargne,</w:t>
      </w:r>
      <w:r>
        <w:rPr>
          <w:spacing w:val="1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1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 marchés,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etc.).</w:t>
      </w:r>
    </w:p>
    <w:p w:rsidR="001B0B39" w:rsidRDefault="00C26DEA">
      <w:pPr>
        <w:spacing w:line="243" w:lineRule="exact"/>
        <w:ind w:left="216"/>
        <w:jc w:val="both"/>
        <w:rPr>
          <w:sz w:val="20"/>
        </w:rPr>
      </w:pPr>
      <w:r>
        <w:rPr>
          <w:sz w:val="20"/>
        </w:rPr>
        <w:t>Plus</w:t>
      </w:r>
      <w:r>
        <w:rPr>
          <w:spacing w:val="-6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1B0B39" w:rsidRDefault="00C26DEA">
      <w:pPr>
        <w:spacing w:before="170" w:line="480" w:lineRule="atLeast"/>
        <w:ind w:left="216" w:right="7446"/>
        <w:rPr>
          <w:b/>
          <w:sz w:val="20"/>
        </w:rPr>
      </w:pPr>
      <w:r>
        <w:rPr>
          <w:b/>
          <w:sz w:val="20"/>
        </w:rPr>
        <w:t>Contacts presse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Groupe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Annie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Famose</w:t>
      </w:r>
      <w:proofErr w:type="spellEnd"/>
    </w:p>
    <w:p w:rsidR="001B0B39" w:rsidRDefault="00C26DEA">
      <w:pPr>
        <w:spacing w:before="8"/>
        <w:ind w:left="216"/>
        <w:rPr>
          <w:sz w:val="20"/>
        </w:rPr>
      </w:pPr>
      <w:r>
        <w:rPr>
          <w:color w:val="212121"/>
          <w:sz w:val="20"/>
        </w:rPr>
        <w:t>Melchior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|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Agence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Communication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Julien</w:t>
      </w:r>
      <w:r>
        <w:rPr>
          <w:color w:val="212121"/>
          <w:spacing w:val="-2"/>
          <w:sz w:val="20"/>
        </w:rPr>
        <w:t xml:space="preserve"> </w:t>
      </w:r>
      <w:proofErr w:type="spellStart"/>
      <w:r>
        <w:rPr>
          <w:color w:val="212121"/>
          <w:sz w:val="20"/>
        </w:rPr>
        <w:t>Guitard</w:t>
      </w:r>
      <w:proofErr w:type="spellEnd"/>
      <w:r>
        <w:rPr>
          <w:color w:val="212121"/>
          <w:sz w:val="20"/>
        </w:rPr>
        <w:t xml:space="preserve"> -</w:t>
      </w:r>
      <w:r>
        <w:rPr>
          <w:color w:val="212121"/>
          <w:spacing w:val="-3"/>
          <w:sz w:val="20"/>
        </w:rPr>
        <w:t xml:space="preserve"> </w:t>
      </w:r>
      <w:hyperlink r:id="rId8">
        <w:r>
          <w:rPr>
            <w:color w:val="1154CC"/>
            <w:sz w:val="20"/>
          </w:rPr>
          <w:t xml:space="preserve">julien@agencemelchior.com </w:t>
        </w:r>
      </w:hyperlink>
      <w:r>
        <w:rPr>
          <w:color w:val="212121"/>
          <w:sz w:val="20"/>
        </w:rPr>
        <w:t>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06 24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40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69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02</w:t>
      </w:r>
    </w:p>
    <w:p w:rsidR="001B0B39" w:rsidRDefault="001B0B39">
      <w:pPr>
        <w:pStyle w:val="Corpsdetexte"/>
        <w:spacing w:before="1"/>
        <w:rPr>
          <w:sz w:val="15"/>
        </w:rPr>
      </w:pPr>
    </w:p>
    <w:p w:rsidR="001B0B39" w:rsidRDefault="00C26DEA">
      <w:pPr>
        <w:spacing w:before="59"/>
        <w:ind w:left="216"/>
        <w:rPr>
          <w:b/>
          <w:sz w:val="20"/>
        </w:rPr>
      </w:pP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Institutionnels</w:t>
      </w:r>
    </w:p>
    <w:p w:rsidR="001B0B39" w:rsidRDefault="00C26DEA">
      <w:pPr>
        <w:spacing w:before="1"/>
        <w:ind w:left="216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z w:val="20"/>
        </w:rPr>
        <w:t xml:space="preserve"> -</w:t>
      </w:r>
      <w:r>
        <w:rPr>
          <w:spacing w:val="-4"/>
          <w:sz w:val="20"/>
        </w:rPr>
        <w:t xml:space="preserve"> </w:t>
      </w:r>
      <w:hyperlink r:id="rId9">
        <w:r>
          <w:rPr>
            <w:color w:val="0462C1"/>
            <w:sz w:val="20"/>
            <w:u w:val="single" w:color="0462C1"/>
          </w:rPr>
          <w:t>illy.benyoussef@kable-communication.com</w:t>
        </w:r>
        <w:r>
          <w:rPr>
            <w:color w:val="0462C1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41</w:t>
      </w:r>
    </w:p>
    <w:sectPr w:rsidR="001B0B39">
      <w:pgSz w:w="11910" w:h="16840"/>
      <w:pgMar w:top="158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0B39"/>
    <w:rsid w:val="001B0B39"/>
    <w:rsid w:val="00C2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470" w:right="53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26D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DEA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470" w:right="53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26D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DEA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@agencemelchi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kea-banque-ei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kea-banque-e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fgroup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ly.benyoussef@kable-communi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BERNARD-CATINAT BEATRICE</dc:creator>
  <cp:lastModifiedBy>MARTIN BENJAMIN</cp:lastModifiedBy>
  <cp:revision>2</cp:revision>
  <dcterms:created xsi:type="dcterms:W3CDTF">2026-04-07T12:33:00Z</dcterms:created>
  <dcterms:modified xsi:type="dcterms:W3CDTF">2026-04-07T12:34:00Z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</Properties>
</file>