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5B14A3" w14:textId="77777777" w:rsidR="00123169" w:rsidRDefault="00123169">
      <w:pPr>
        <w:jc w:val="right"/>
        <w:rPr>
          <w:b/>
          <w:bCs/>
        </w:rPr>
      </w:pPr>
    </w:p>
    <w:p w14:paraId="47072605" w14:textId="2F44DA1E" w:rsidR="007A489D" w:rsidRDefault="00B767BD">
      <w:pPr>
        <w:jc w:val="right"/>
        <w:rPr>
          <w:b/>
          <w:bCs/>
        </w:rPr>
      </w:pPr>
      <w:r>
        <w:rPr>
          <w:b/>
          <w:bCs/>
        </w:rPr>
        <w:t>COMMUNIQUÉ DE PRESSE</w:t>
      </w:r>
      <w:r>
        <w:rPr>
          <w:b/>
          <w:bCs/>
        </w:rPr>
        <w:br/>
      </w:r>
    </w:p>
    <w:p w14:paraId="784A6807" w14:textId="77777777" w:rsidR="007A489D" w:rsidRDefault="00B767BD">
      <w:pPr>
        <w:jc w:val="center"/>
        <w:rPr>
          <w:b/>
          <w:bCs/>
          <w:color w:val="EE0000"/>
          <w:sz w:val="24"/>
          <w:szCs w:val="24"/>
        </w:rPr>
      </w:pPr>
      <w:r>
        <w:rPr>
          <w:b/>
          <w:bCs/>
          <w:color w:val="EE0000"/>
          <w:sz w:val="24"/>
          <w:szCs w:val="24"/>
        </w:rPr>
        <w:t>Arkéa Banque Entreprises et Institutionnels est Coordinateur et Agent du financement du plan d’investissement de reprise de l’Institut Montsouris par l’Hôpital Foch en partenariat avec l’Institut Curie</w:t>
      </w:r>
    </w:p>
    <w:p w14:paraId="5985C90E" w14:textId="77777777" w:rsidR="007A489D" w:rsidRDefault="00B767BD">
      <w:pPr>
        <w:jc w:val="both"/>
        <w:rPr>
          <w:b/>
          <w:bCs/>
        </w:rPr>
      </w:pPr>
      <w:r>
        <w:rPr>
          <w:b/>
          <w:bCs/>
        </w:rPr>
        <w:t>Paris, le 25/06/2026 - Arkéa Banque Entreprises et Institutionnels est intervenu comme Coordinateur et Agent du financement du plan d’investissement de reprise de l’Institut Médico-Chirurgical Montsouris (IMM) par l’Hôpital Foch en partenariat avec l’Institut Curie. Cette opération structurante pour le paysage hospitalier francilien permet de sécuriser durablement l’avenir d’un établissement de santé majeur. Le pool bancaire est constitué de trois arrangeurs : Arkéa Banque Entreprises et Institutionnels, La Banque Postale et la Caisse d’Epargne Ile-de-France.</w:t>
      </w:r>
    </w:p>
    <w:p w14:paraId="7C7F094E" w14:textId="77777777" w:rsidR="007A489D" w:rsidRDefault="00B767BD">
      <w:pPr>
        <w:rPr>
          <w:b/>
          <w:bCs/>
        </w:rPr>
      </w:pPr>
      <w:r>
        <w:rPr>
          <w:b/>
          <w:bCs/>
        </w:rPr>
        <w:t>Un actif hospitalier stratégique, au cœur des enjeux de continuité des soins</w:t>
      </w:r>
    </w:p>
    <w:p w14:paraId="3094F2C4" w14:textId="77777777" w:rsidR="007A489D" w:rsidRDefault="00B767BD">
      <w:pPr>
        <w:jc w:val="both"/>
      </w:pPr>
      <w:r>
        <w:t>Anciennement Institut Mutualiste Montsouris, l’établissement devient l’Institut Montsouris (IMM), marquant une nouvelle étape de son développement. La reprise par l’Hôpital Foch (92) en partenariat avec l’Institut Curie (75) donne naissance à un ensemble hospitalier de premier plan en Ile-de-France, fondé sur la complémentarité de ses expertises médicales et l’excellence de la prise en charge, au service de la santé des patients.</w:t>
      </w:r>
    </w:p>
    <w:p w14:paraId="5D3225BD" w14:textId="77777777" w:rsidR="007A489D" w:rsidRDefault="00B767BD">
      <w:pPr>
        <w:jc w:val="both"/>
      </w:pPr>
      <w:r>
        <w:t>Avec 1 092 lits et 3133 professionnels, ce nouvel ensemble hospitalier entend consolider des expertises reconnues et développer des activités de pointe en médecine, chirurgie, obstétrique et cancérologie.</w:t>
      </w:r>
    </w:p>
    <w:p w14:paraId="67DEAA03" w14:textId="77777777" w:rsidR="007A489D" w:rsidRDefault="00B767BD">
      <w:pPr>
        <w:rPr>
          <w:b/>
          <w:bCs/>
        </w:rPr>
      </w:pPr>
      <w:r>
        <w:rPr>
          <w:b/>
          <w:bCs/>
        </w:rPr>
        <w:t>Un financement structuré pour accompagner la relance de l’établissement</w:t>
      </w:r>
    </w:p>
    <w:p w14:paraId="642D1393" w14:textId="77777777" w:rsidR="007A489D" w:rsidRDefault="00B767BD">
      <w:pPr>
        <w:jc w:val="both"/>
      </w:pPr>
      <w:r>
        <w:t>Le financement d’un montant de 25,2 M€ a été arrangé par Arkéa Banque Entreprises et Institutionnels, La Banque Postale et la Caisse d’Epargne Ile-de-France. Dans ce cadre, Arkéa Banque Entreprises et Institutionnels intervient en tant que Coordinateur et Agent, illustrant sa capacité à déployer l’ensemble de ses savoir-faire en financements structurés dans des contextes sensibles.</w:t>
      </w:r>
    </w:p>
    <w:p w14:paraId="3054CA1E" w14:textId="77777777" w:rsidR="007A489D" w:rsidRDefault="00B767BD">
      <w:pPr>
        <w:jc w:val="both"/>
      </w:pPr>
      <w:r>
        <w:t>Le montage est destiné à accompagner l’IMM dans les investissements nécessaires à la relance de son activité et à l’inscrire dans une trajectoire durablement positive.</w:t>
      </w:r>
    </w:p>
    <w:p w14:paraId="3FDAA0F6" w14:textId="77777777" w:rsidR="007A489D" w:rsidRDefault="00B767BD">
      <w:pPr>
        <w:rPr>
          <w:b/>
          <w:bCs/>
        </w:rPr>
      </w:pPr>
      <w:r>
        <w:rPr>
          <w:b/>
          <w:bCs/>
        </w:rPr>
        <w:t>Une opération emblématique du positionnement d’Arkéa Banque Entreprises et Institutionnels dans la santé</w:t>
      </w:r>
    </w:p>
    <w:p w14:paraId="415DE2D2" w14:textId="77777777" w:rsidR="007A489D" w:rsidRDefault="00B767BD">
      <w:pPr>
        <w:jc w:val="both"/>
      </w:pPr>
      <w:bookmarkStart w:id="0" w:name="_heading=h.mw61d1rlulu7" w:colFirst="0" w:colLast="0"/>
      <w:bookmarkEnd w:id="0"/>
      <w:r>
        <w:t>Acteur de référence du financement du secteur de la santé, Arkéa Banque Entreprises et Institutionnels accompagne l’ensemble des typologies d’acteurs : établissements publics, structures privées à but non lucratif et groupes de santé privés. À travers cette opération, la banque confirme son positionnement sur des projets à fort enjeu, nécessitant à la fois expertise financière, compréhension fine des équilibres sectoriels et capacité à intervenir dans des situations complexes.</w:t>
      </w:r>
    </w:p>
    <w:p w14:paraId="49D369E1" w14:textId="77777777" w:rsidR="007A489D" w:rsidRDefault="00B767BD">
      <w:pPr>
        <w:jc w:val="both"/>
        <w:rPr>
          <w:i/>
          <w:iCs/>
        </w:rPr>
      </w:pPr>
      <w:r>
        <w:rPr>
          <w:b/>
          <w:bCs/>
        </w:rPr>
        <w:t xml:space="preserve">Laurie Lemoine, Directrice Territoriale Institutionnels, Arkéa Banque Entreprises et Institutionnels, se réjouit : </w:t>
      </w:r>
      <w:r>
        <w:rPr>
          <w:i/>
          <w:iCs/>
        </w:rPr>
        <w:t>«</w:t>
      </w:r>
      <w:r>
        <w:rPr>
          <w:b/>
          <w:bCs/>
        </w:rPr>
        <w:t xml:space="preserve"> </w:t>
      </w:r>
      <w:r>
        <w:rPr>
          <w:i/>
          <w:iCs/>
        </w:rPr>
        <w:t>Parce qu’ils sont majeurs pour nos territoires, les enjeux de santé sont au cœur de notre plan</w:t>
      </w:r>
      <w:r>
        <w:rPr>
          <w:b/>
          <w:bCs/>
        </w:rPr>
        <w:t xml:space="preserve"> </w:t>
      </w:r>
      <w:r>
        <w:rPr>
          <w:i/>
          <w:iCs/>
        </w:rPr>
        <w:t xml:space="preserve">stratégique Faire 2030. Notre rôle, en tant qu’acteur financier, est d’accompagner le développement d’infrastructures de santé innovantes et la modernisation de l’offre de soins. Une </w:t>
      </w:r>
      <w:r>
        <w:rPr>
          <w:i/>
          <w:iCs/>
        </w:rPr>
        <w:lastRenderedPageBreak/>
        <w:t>promesse que nous faisons vivre avec cette opération, qui illustre également notre capacité à structurer des financements complexes dans des contextes sensibles. »</w:t>
      </w:r>
    </w:p>
    <w:p w14:paraId="4E91C38A" w14:textId="77777777" w:rsidR="007A489D" w:rsidRDefault="007A489D">
      <w:pPr>
        <w:jc w:val="both"/>
        <w:rPr>
          <w:b/>
          <w:bCs/>
        </w:rPr>
      </w:pPr>
    </w:p>
    <w:p w14:paraId="49076710" w14:textId="77777777" w:rsidR="007A489D" w:rsidRDefault="00B767BD">
      <w:pPr>
        <w:jc w:val="both"/>
        <w:rPr>
          <w:i/>
          <w:iCs/>
        </w:rPr>
      </w:pPr>
      <w:r>
        <w:rPr>
          <w:b/>
          <w:bCs/>
        </w:rPr>
        <w:t xml:space="preserve">Sabine Fleischel, Membre du Directoire en charge de la Banque du développement régional (BDR), à la Caisse d’Epargne Ile-de-France, déclare : </w:t>
      </w:r>
      <w:r>
        <w:rPr>
          <w:i/>
          <w:iCs/>
        </w:rPr>
        <w:t>« Aux côtés d’Arkéa, chef de file de cette opération, la Caisse d’Epargne Ile-de-France contribue à la réalisation d’un nouveau projet hospitalier essentiel pour le territoire francilien. Ce financement illustre notre engagement constant à soutenir des projets utiles, ancrés dans les territoires, au service de la santé et de la qualité de vie des Franciliens. Plus que jamais, nous affirmons notre rôle de banque des solutions, partenaire du développement régional. »</w:t>
      </w:r>
    </w:p>
    <w:p w14:paraId="3C09BA2A" w14:textId="77777777" w:rsidR="007A489D" w:rsidRDefault="00B767BD">
      <w:pPr>
        <w:tabs>
          <w:tab w:val="left" w:pos="2810"/>
        </w:tabs>
        <w:jc w:val="both"/>
      </w:pPr>
      <w:bookmarkStart w:id="1" w:name="_heading=h.wz04vbvn9rs0" w:colFirst="0" w:colLast="0"/>
      <w:bookmarkEnd w:id="1"/>
      <w:r>
        <w:rPr>
          <w:b/>
          <w:bCs/>
        </w:rPr>
        <w:t>Michel Rouault, directeur régional de la Banque des Entreprises et du Développement Locale de La Banque Postale, précise :</w:t>
      </w:r>
      <w:r>
        <w:rPr>
          <w:b/>
          <w:bCs/>
          <w:i/>
          <w:iCs/>
        </w:rPr>
        <w:t xml:space="preserve"> </w:t>
      </w:r>
      <w:r>
        <w:t>« </w:t>
      </w:r>
      <w:r>
        <w:rPr>
          <w:i/>
          <w:iCs/>
        </w:rPr>
        <w:t>À travers cette opération, La Banque Postale affirme son engagement à accompagner des projets de transformation à fort impact sociétal. Le financement de l’Institut Médico-Chirurgical Montsouris traduit notre volonté de mobiliser nos expertises au service d’infrastructures de santé durables, au cœur des enjeux d’accès aux soins et de performance du système hospitalier.</w:t>
      </w:r>
      <w:r>
        <w:t> » </w:t>
      </w:r>
    </w:p>
    <w:p w14:paraId="5C379F91" w14:textId="77777777" w:rsidR="007A489D" w:rsidRDefault="007A489D">
      <w:pPr>
        <w:ind w:hanging="2"/>
        <w:jc w:val="both"/>
        <w:rPr>
          <w:b/>
          <w:bCs/>
          <w:u w:val="single"/>
        </w:rPr>
      </w:pPr>
    </w:p>
    <w:p w14:paraId="5CF1745C" w14:textId="77777777" w:rsidR="007A489D" w:rsidRDefault="00B767BD">
      <w:pPr>
        <w:ind w:hanging="2"/>
        <w:jc w:val="both"/>
        <w:rPr>
          <w:b/>
          <w:bCs/>
          <w:u w:val="single"/>
        </w:rPr>
      </w:pPr>
      <w:r>
        <w:rPr>
          <w:b/>
          <w:bCs/>
          <w:u w:val="single"/>
        </w:rPr>
        <w:t>À propos d’Arkéa Banque Entreprises et Institutionnels</w:t>
      </w:r>
    </w:p>
    <w:p w14:paraId="3609E2D6" w14:textId="39A61343" w:rsidR="007A489D" w:rsidRDefault="00B767BD">
      <w:pPr>
        <w:rPr>
          <w:b/>
          <w:bCs/>
        </w:rPr>
      </w:pPr>
      <w:r>
        <w:t>Arkéa Banque Entreprises et Institutionnels est la filiale du groupe Crédit Mutuel Arkéa dédiée aux marchés des entreprises (PME &amp; ETI), des acteurs publics et institutionnels locaux et des professionnels de l’immobilier. La banque accompagne 15 000 acteurs économiques partout en France à travers ses 21 implantations. Elle propose à ses clients une offre complète (financements, traitement des flux, moyens de paiement, épargne, assurances, opérations de salle des marchés, opcvm, etc.). Pour plus d’informations :</w:t>
      </w:r>
      <w:r w:rsidR="00DA327A">
        <w:t xml:space="preserve"> </w:t>
      </w:r>
      <w:r w:rsidR="00DA327A">
        <w:rPr>
          <w:color w:val="0000FF"/>
          <w:u w:val="single"/>
        </w:rPr>
        <w:t>site web d’</w:t>
      </w:r>
      <w:proofErr w:type="spellStart"/>
      <w:r w:rsidR="00DA327A">
        <w:rPr>
          <w:color w:val="0000FF"/>
          <w:u w:val="single"/>
        </w:rPr>
        <w:t>Arkéa</w:t>
      </w:r>
      <w:proofErr w:type="spellEnd"/>
      <w:r w:rsidR="00DA327A">
        <w:rPr>
          <w:color w:val="0000FF"/>
          <w:u w:val="single"/>
        </w:rPr>
        <w:t xml:space="preserve"> Banque E&amp;I.</w:t>
      </w:r>
    </w:p>
    <w:p w14:paraId="344FF76C" w14:textId="77777777" w:rsidR="007A489D" w:rsidRDefault="00B767BD">
      <w:pPr>
        <w:spacing w:after="0" w:line="240" w:lineRule="auto"/>
        <w:rPr>
          <w:b/>
          <w:bCs/>
          <w:u w:val="single"/>
        </w:rPr>
      </w:pPr>
      <w:r>
        <w:rPr>
          <w:b/>
          <w:bCs/>
          <w:u w:val="single"/>
        </w:rPr>
        <w:t>À propos de l’IMM</w:t>
      </w:r>
    </w:p>
    <w:p w14:paraId="7AD3AF3D" w14:textId="77777777" w:rsidR="007A489D" w:rsidRDefault="00B767BD">
      <w:pPr>
        <w:spacing w:after="0" w:line="240" w:lineRule="auto"/>
      </w:pPr>
      <w:r>
        <w:rPr>
          <w:i/>
          <w:iCs/>
          <w:u w:val="single"/>
        </w:rPr>
        <w:br/>
      </w:r>
      <w:r>
        <w:t xml:space="preserve">L'IMM est un Établissement de Santé Privé d’Intérêt Collectif ouvert à tous sans dépassement d'honoraires. Situé au 42 boulevard Jourdan Paris 14e, il constitue une structure hospitalière de 485 lits et places et développe principalement des activités lourdes ou complexes à dominante chirurgicale dans la plupart des domaines pathologiques, en dehors de la neurochirurgie et de l’ORL. Il propose également des parcours de soins dédiés aux personnes en situation de handicap. Pôle d'excellence en recherche et enseignement, l'IMM est à la pointe des innovations technologiques et figure parmi les meilleurs établissements de France. En savoir plus : imm.fr </w:t>
      </w:r>
    </w:p>
    <w:p w14:paraId="25F6C287" w14:textId="77777777" w:rsidR="007A489D" w:rsidRDefault="007A489D">
      <w:pPr>
        <w:spacing w:after="0" w:line="240" w:lineRule="auto"/>
        <w:rPr>
          <w:highlight w:val="yellow"/>
          <w:u w:val="single"/>
        </w:rPr>
      </w:pPr>
    </w:p>
    <w:p w14:paraId="06918931" w14:textId="77777777" w:rsidR="007A489D" w:rsidRDefault="00B767BD">
      <w:pPr>
        <w:jc w:val="both"/>
        <w:rPr>
          <w:b/>
          <w:bCs/>
          <w:u w:val="single"/>
        </w:rPr>
      </w:pPr>
      <w:r>
        <w:rPr>
          <w:b/>
          <w:bCs/>
          <w:u w:val="single"/>
        </w:rPr>
        <w:t xml:space="preserve">À propos de l’Hôpital Foch </w:t>
      </w:r>
    </w:p>
    <w:p w14:paraId="1848CF9B" w14:textId="77777777" w:rsidR="007A489D" w:rsidRDefault="00B767BD">
      <w:pPr>
        <w:jc w:val="both"/>
      </w:pPr>
      <w:r>
        <w:t xml:space="preserve">Avec un effectif de 2 300 collaborateurs dont près de 300 médecins, 611 lits installés, 260 000 consultations hors maternité et urgences, et plus de 60 000 hospitalisations par an, l’hôpital Foch fait partie des plus importants établissements hospitaliers d’Ile-de-France. Ses prises en charge pluridisciplinaires de haut niveau dans la quasi-totalité du champ médical et chirurgical de l’adulte, sa forte implication dans l’enseignement, la formation et la recherche, son plateau médicotechnique de pointe, sa tradition d’accueil en font l’un des hôpitaux privés à but non lucratif les plus performants de France La Fondation franco-américaine Foch, qui a créé et construit l’Hôpital Foch, en demeure aujourd’hui un acteur essentiel dans sa gestion et les choix stratégiques de ses activités. La plupart de ses services bénéficient d’une fréquentation élevée en croissance exceptionnelle rapide. </w:t>
      </w:r>
    </w:p>
    <w:p w14:paraId="3C5126A1" w14:textId="77777777" w:rsidR="007A489D" w:rsidRDefault="00B767BD">
      <w:pPr>
        <w:ind w:hanging="2"/>
        <w:jc w:val="both"/>
        <w:rPr>
          <w:b/>
          <w:bCs/>
          <w:u w:val="single"/>
        </w:rPr>
      </w:pPr>
      <w:r>
        <w:rPr>
          <w:b/>
          <w:bCs/>
          <w:u w:val="single"/>
        </w:rPr>
        <w:t xml:space="preserve">À propos de La Banque Postale </w:t>
      </w:r>
    </w:p>
    <w:p w14:paraId="1043C69B" w14:textId="77777777" w:rsidR="007A489D" w:rsidRDefault="00B767BD">
      <w:pPr>
        <w:ind w:hanging="2"/>
        <w:jc w:val="both"/>
      </w:pPr>
      <w:r>
        <w:lastRenderedPageBreak/>
        <w:t xml:space="preserve">La Banque Postale forme avec ses filiales dont CNP Assurances, un grand groupe international de bancassurance, classé 12ème de la zone euro par la taille du bilan. Son modèle d’affaires diversifié lui permet d’accompagner en France près de 18 millions de clients particuliers, entreprises, institutionnels et acteurs du secteur public local. Filiale du groupe La Poste, La Banque Postale est une banque de proximité, présente sur tout le territoire, avec ses 17 000 points de contact dont près de 6 500 bureaux de poste. Premier prêteur bancaire des collectivités locales et des hôpitaux publics depuis 2015, La Banque Postale joue un rôle essentiel dans le développement économique des territoires.   </w:t>
      </w:r>
    </w:p>
    <w:p w14:paraId="1326F32A" w14:textId="77777777" w:rsidR="007A489D" w:rsidRDefault="00B767BD">
      <w:pPr>
        <w:ind w:hanging="2"/>
        <w:jc w:val="both"/>
      </w:pPr>
      <w:r>
        <w:t xml:space="preserve">Portée par son plan stratégique « La Banque Postale 2030 », elle ambitionne de bâtir un leader européen de la bancassurance au service de tous ses clients, et d’affirmer son rôle pionnier dans la finance citoyenne. Elle propose une gamme complète et omnicanale de services de bancassurance, structurée autour de ses trois marques : La Banque Postale, sa banque des particuliers, Louvre Banque Privée, sa banque patrimoniale et CNP Assurances, sa filiale d’assurance de biens et de personnes. La Banque Postale accélère également sa stratégie de diversification et développe ses métiers d’expertise, notamment dans la gestion d’actifs, l’assurance, le crédit à la consommation et la banque des entreprises et du développement local.     </w:t>
      </w:r>
    </w:p>
    <w:p w14:paraId="584B5757" w14:textId="77777777" w:rsidR="007A489D" w:rsidRDefault="00B767BD">
      <w:pPr>
        <w:ind w:hanging="2"/>
        <w:jc w:val="both"/>
        <w:rPr>
          <w:highlight w:val="yellow"/>
        </w:rPr>
      </w:pPr>
      <w:r>
        <w:t>Forte de son identité citoyenne, La Banque Postale œuvre pour une transition juste en intégrant au cœur de sa gouvernance des objectifs en matière d’impact environnemental et social. Entreprise à mission depuis mars 2022, La Banque Postale ambitionne d’atteindre zéro émission nette dès 2040. Elle figure aux 1ers rangs des agences de notation extra-financière. </w:t>
      </w:r>
    </w:p>
    <w:p w14:paraId="5D629093" w14:textId="77777777" w:rsidR="007A489D" w:rsidRDefault="00B767BD">
      <w:pPr>
        <w:ind w:hanging="2"/>
        <w:jc w:val="both"/>
        <w:rPr>
          <w:b/>
          <w:bCs/>
          <w:u w:val="single"/>
        </w:rPr>
      </w:pPr>
      <w:r>
        <w:rPr>
          <w:b/>
          <w:bCs/>
          <w:u w:val="single"/>
        </w:rPr>
        <w:t xml:space="preserve">À propos de la Caisse d’Epargne Ile-de-France  </w:t>
      </w:r>
    </w:p>
    <w:p w14:paraId="29514DCA" w14:textId="77777777" w:rsidR="007A489D" w:rsidRDefault="00B767BD">
      <w:pPr>
        <w:spacing w:after="0"/>
        <w:jc w:val="both"/>
      </w:pPr>
      <w:r>
        <w:t>Banque régionale coopérative, première actionnaire du Groupe BPCE, elle exerce son activité depuis plus de 200 ans et finance tous les domaines de l’économie et l’ensemble des acteurs de l’Ile-de-France : collectivités locales, logement social, associations, entreprises, institutionnels, particuliers et professionnels. La Caisse d’Epargne Ile-de-France regroupe un réseau de 400 agences et 30 centres d’affaires dédiés aux entreprises ainsi qu’une Banque Privée. Elle compte 4.500 collaborateurs et 2,5 millions de clients dont 700 000 sociétaires. Elle accompagne le développement de trois filiales : La Banque BCP, la Banque de Tahiti et la Banque de Nouvelle Calédonie.</w:t>
      </w:r>
    </w:p>
    <w:p w14:paraId="2F2217EC" w14:textId="77777777" w:rsidR="007A489D" w:rsidRDefault="00B767BD">
      <w:pPr>
        <w:spacing w:after="0"/>
        <w:jc w:val="both"/>
        <w:rPr>
          <w:color w:val="000000"/>
          <w:u w:val="single"/>
        </w:rPr>
      </w:pPr>
      <w:r>
        <w:fldChar w:fldCharType="begin"/>
      </w:r>
      <w:r>
        <w:instrText xml:space="preserve"> HYPERLINK "https://caisse-epargne-ile-de-france.fr/espace-presse/" </w:instrText>
      </w:r>
      <w:r>
        <w:fldChar w:fldCharType="separate"/>
      </w:r>
      <w:r>
        <w:rPr>
          <w:color w:val="000000"/>
          <w:u w:val="single"/>
        </w:rPr>
        <w:t>Toutes nos actualités ici</w:t>
      </w:r>
    </w:p>
    <w:p w14:paraId="49FC94E5" w14:textId="77777777" w:rsidR="007A489D" w:rsidRDefault="00B767BD">
      <w:pPr>
        <w:spacing w:after="0" w:line="240" w:lineRule="auto"/>
        <w:jc w:val="both"/>
      </w:pPr>
      <w:r>
        <w:fldChar w:fldCharType="end"/>
      </w:r>
    </w:p>
    <w:p w14:paraId="79E8FF10" w14:textId="77777777" w:rsidR="007A489D" w:rsidRDefault="00B767BD">
      <w:pPr>
        <w:spacing w:after="0" w:line="240" w:lineRule="auto"/>
        <w:jc w:val="both"/>
        <w:rPr>
          <w:b/>
          <w:bCs/>
        </w:rPr>
      </w:pPr>
      <w:r>
        <w:rPr>
          <w:b/>
          <w:bCs/>
        </w:rPr>
        <w:t>Contacts presse :</w:t>
      </w:r>
    </w:p>
    <w:p w14:paraId="7A8DFBE6" w14:textId="77777777" w:rsidR="007A489D" w:rsidRDefault="007A489D">
      <w:pPr>
        <w:spacing w:after="0" w:line="240" w:lineRule="auto"/>
        <w:jc w:val="both"/>
        <w:rPr>
          <w:b/>
          <w:bCs/>
        </w:rPr>
      </w:pPr>
    </w:p>
    <w:p w14:paraId="3405A6C2" w14:textId="77777777" w:rsidR="007A489D" w:rsidRDefault="00B767BD">
      <w:pPr>
        <w:spacing w:after="0" w:line="240" w:lineRule="auto"/>
        <w:jc w:val="both"/>
        <w:rPr>
          <w:b/>
          <w:bCs/>
        </w:rPr>
      </w:pPr>
      <w:r>
        <w:rPr>
          <w:b/>
          <w:bCs/>
        </w:rPr>
        <w:t xml:space="preserve">Arkéa Banque Entreprises et Institutionnels </w:t>
      </w:r>
    </w:p>
    <w:p w14:paraId="57DB3239" w14:textId="77777777" w:rsidR="007A489D" w:rsidRDefault="00B767BD">
      <w:pPr>
        <w:ind w:hanging="2"/>
      </w:pPr>
      <w:r>
        <w:t>Kablé Communication - Illy Benyoussef - illy.benyoussef@kable-communication.com - 06 28 09 65 41</w:t>
      </w:r>
    </w:p>
    <w:p w14:paraId="0F229511" w14:textId="77777777" w:rsidR="007A489D" w:rsidRDefault="00B767BD">
      <w:pPr>
        <w:spacing w:after="0" w:line="240" w:lineRule="auto"/>
        <w:jc w:val="both"/>
        <w:rPr>
          <w:b/>
          <w:bCs/>
        </w:rPr>
      </w:pPr>
      <w:r>
        <w:rPr>
          <w:b/>
          <w:bCs/>
        </w:rPr>
        <w:t xml:space="preserve">Hôpital FOCH </w:t>
      </w:r>
    </w:p>
    <w:p w14:paraId="3CBD7748" w14:textId="77777777" w:rsidR="007A489D" w:rsidRDefault="00B767BD">
      <w:pPr>
        <w:spacing w:after="0" w:line="240" w:lineRule="auto"/>
        <w:jc w:val="both"/>
      </w:pPr>
      <w:r>
        <w:t xml:space="preserve">Laurie THEVENET - </w:t>
      </w:r>
      <w:hyperlink r:id="rId8">
        <w:r>
          <w:rPr>
            <w:color w:val="0000FF"/>
            <w:u w:val="single"/>
          </w:rPr>
          <w:t>laurie.thevenet@hotmail.fr</w:t>
        </w:r>
      </w:hyperlink>
      <w:r>
        <w:t> - 06 36 50 30 40</w:t>
      </w:r>
    </w:p>
    <w:p w14:paraId="4B95D148" w14:textId="77777777" w:rsidR="007A489D" w:rsidRDefault="007A489D">
      <w:pPr>
        <w:spacing w:after="0" w:line="240" w:lineRule="auto"/>
        <w:jc w:val="both"/>
        <w:rPr>
          <w:b/>
          <w:bCs/>
        </w:rPr>
      </w:pPr>
    </w:p>
    <w:p w14:paraId="4D8AA5FA" w14:textId="77777777" w:rsidR="007A489D" w:rsidRDefault="00B767BD">
      <w:pPr>
        <w:spacing w:after="0" w:line="240" w:lineRule="auto"/>
        <w:jc w:val="both"/>
        <w:rPr>
          <w:b/>
          <w:bCs/>
        </w:rPr>
      </w:pPr>
      <w:r>
        <w:rPr>
          <w:b/>
          <w:bCs/>
        </w:rPr>
        <w:t xml:space="preserve">Caisse d’Epargne Ile-de-France </w:t>
      </w:r>
    </w:p>
    <w:p w14:paraId="5B0E3419" w14:textId="77777777" w:rsidR="007A489D" w:rsidRDefault="00B767BD">
      <w:pPr>
        <w:spacing w:after="0" w:line="240" w:lineRule="auto"/>
        <w:jc w:val="both"/>
      </w:pPr>
      <w:r>
        <w:t xml:space="preserve">Sonia JOCITCH - </w:t>
      </w:r>
      <w:hyperlink r:id="rId9">
        <w:r>
          <w:rPr>
            <w:color w:val="000000"/>
            <w:u w:val="single"/>
          </w:rPr>
          <w:t>sonia.jocitch@ceidf.caisse-epargne.fr</w:t>
        </w:r>
      </w:hyperlink>
      <w:r>
        <w:t xml:space="preserve"> -  06.24.74.29.91  </w:t>
      </w:r>
      <w:bookmarkStart w:id="2" w:name="_GoBack"/>
      <w:bookmarkEnd w:id="2"/>
    </w:p>
    <w:sectPr w:rsidR="007A489D" w:rsidSect="00123169">
      <w:headerReference w:type="first" r:id="rId10"/>
      <w:pgSz w:w="11906" w:h="16838"/>
      <w:pgMar w:top="1417" w:right="1417" w:bottom="1417" w:left="1417" w:header="283" w:footer="708"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304621" w14:textId="77777777" w:rsidR="007D0263" w:rsidRDefault="007D0263">
      <w:pPr>
        <w:spacing w:after="0" w:line="240" w:lineRule="auto"/>
      </w:pPr>
      <w:r>
        <w:separator/>
      </w:r>
    </w:p>
  </w:endnote>
  <w:endnote w:type="continuationSeparator" w:id="0">
    <w:p w14:paraId="32576BD1" w14:textId="77777777" w:rsidR="007D0263" w:rsidRDefault="007D02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embedRegular r:id="rId1" w:fontKey="{801069D0-4C2B-4E40-8838-7D0A9CC88ADD}"/>
    <w:embedBold r:id="rId2" w:fontKey="{708ED36E-F880-4A8D-A1D2-FA9F41BBA74E}"/>
    <w:embedItalic r:id="rId3" w:fontKey="{28DC73CD-F92E-4F0A-ACDD-6EA9FA6281D8}"/>
    <w:embedBoldItalic r:id="rId4" w:fontKey="{59A50D9D-D148-4CE4-A4DE-D9BCF98E5E24}"/>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CFC83C15-B5C4-4927-8144-E223D4D963AA}"/>
  </w:font>
  <w:font w:name="Cambria">
    <w:panose1 w:val="02040503050406030204"/>
    <w:charset w:val="00"/>
    <w:family w:val="roman"/>
    <w:pitch w:val="variable"/>
    <w:sig w:usb0="E00006FF" w:usb1="420024FF" w:usb2="02000000" w:usb3="00000000" w:csb0="0000019F" w:csb1="00000000"/>
    <w:embedRegular r:id="rId6" w:fontKey="{F239A723-8D44-42EE-84BD-DAE6270096AD}"/>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D14BC3" w14:textId="77777777" w:rsidR="007D0263" w:rsidRDefault="007D0263">
      <w:pPr>
        <w:spacing w:after="0" w:line="240" w:lineRule="auto"/>
      </w:pPr>
      <w:r>
        <w:separator/>
      </w:r>
    </w:p>
  </w:footnote>
  <w:footnote w:type="continuationSeparator" w:id="0">
    <w:p w14:paraId="6E75A3EA" w14:textId="77777777" w:rsidR="007D0263" w:rsidRDefault="007D02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04679F" w14:textId="4C7E4E01" w:rsidR="00123169" w:rsidRDefault="00123169" w:rsidP="00DA327A">
    <w:pPr>
      <w:pStyle w:val="En-tte"/>
      <w:tabs>
        <w:tab w:val="left" w:pos="3969"/>
      </w:tabs>
    </w:pPr>
    <w:r>
      <w:rPr>
        <w:noProof/>
        <w:color w:val="000000"/>
        <w:lang w:val="fr-FR"/>
      </w:rPr>
      <w:drawing>
        <wp:inline distT="0" distB="0" distL="0" distR="0" wp14:anchorId="5F566B81" wp14:editId="11670A69">
          <wp:extent cx="2044700" cy="494030"/>
          <wp:effectExtent l="0" t="0" r="0" b="0"/>
          <wp:docPr id="1250713421" name="image3.png" title="Logo Arkéa Banque E&amp;I"/>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cstate="print">
                    <a:extLst>
                      <a:ext uri="{28A0092B-C50C-407E-A947-70E740481C1C}">
                        <a14:useLocalDpi xmlns:a14="http://schemas.microsoft.com/office/drawing/2010/main" val="0"/>
                      </a:ext>
                    </a:extLst>
                  </a:blip>
                  <a:srcRect/>
                  <a:stretch>
                    <a:fillRect/>
                  </a:stretch>
                </pic:blipFill>
                <pic:spPr>
                  <a:xfrm>
                    <a:off x="0" y="0"/>
                    <a:ext cx="2044700" cy="494030"/>
                  </a:xfrm>
                  <a:prstGeom prst="rect">
                    <a:avLst/>
                  </a:prstGeom>
                  <a:ln/>
                </pic:spPr>
              </pic:pic>
            </a:graphicData>
          </a:graphic>
        </wp:inline>
      </w:drawing>
    </w:r>
    <w:r w:rsidR="00DA327A">
      <w:tab/>
    </w:r>
    <w:r w:rsidR="00DA327A">
      <w:rPr>
        <w:noProof/>
        <w:lang w:val="fr-FR"/>
      </w:rPr>
      <w:drawing>
        <wp:inline distT="0" distB="0" distL="0" distR="0" wp14:anchorId="230944C6" wp14:editId="35A01E0C">
          <wp:extent cx="973134" cy="718622"/>
          <wp:effectExtent l="0" t="0" r="0" b="5715"/>
          <wp:docPr id="158423109" name="image1.png" title="Logo La Banque Postale"/>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cstate="print">
                    <a:extLst>
                      <a:ext uri="{28A0092B-C50C-407E-A947-70E740481C1C}">
                        <a14:useLocalDpi xmlns:a14="http://schemas.microsoft.com/office/drawing/2010/main" val="0"/>
                      </a:ext>
                    </a:extLst>
                  </a:blip>
                  <a:srcRect t="14124" b="11823"/>
                  <a:stretch>
                    <a:fillRect/>
                  </a:stretch>
                </pic:blipFill>
                <pic:spPr>
                  <a:xfrm>
                    <a:off x="0" y="0"/>
                    <a:ext cx="973134" cy="718622"/>
                  </a:xfrm>
                  <a:prstGeom prst="rect">
                    <a:avLst/>
                  </a:prstGeom>
                  <a:ln/>
                </pic:spPr>
              </pic:pic>
            </a:graphicData>
          </a:graphic>
        </wp:inline>
      </w:drawing>
    </w:r>
    <w:r w:rsidR="00DA327A">
      <w:tab/>
    </w:r>
    <w:r>
      <w:rPr>
        <w:noProof/>
        <w:lang w:val="fr-FR"/>
      </w:rPr>
      <w:drawing>
        <wp:inline distT="0" distB="0" distL="0" distR="0" wp14:anchorId="0FCC6FD4" wp14:editId="30EADD8D">
          <wp:extent cx="1557304" cy="441938"/>
          <wp:effectExtent l="0" t="0" r="0" b="0"/>
          <wp:docPr id="1032504439" name="image2.png" title="Logo Caisse d'Epargne d'Ile de France"/>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extLst>
                      <a:ext uri="{28A0092B-C50C-407E-A947-70E740481C1C}">
                        <a14:useLocalDpi xmlns:a14="http://schemas.microsoft.com/office/drawing/2010/main" val="0"/>
                      </a:ext>
                    </a:extLst>
                  </a:blip>
                  <a:srcRect l="15883" r="14387"/>
                  <a:stretch>
                    <a:fillRect/>
                  </a:stretch>
                </pic:blipFill>
                <pic:spPr>
                  <a:xfrm>
                    <a:off x="0" y="0"/>
                    <a:ext cx="1557304" cy="441938"/>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489D"/>
    <w:rsid w:val="00123169"/>
    <w:rsid w:val="006C1FFB"/>
    <w:rsid w:val="007A489D"/>
    <w:rsid w:val="007D0263"/>
    <w:rsid w:val="00B767BD"/>
    <w:rsid w:val="00C2192E"/>
    <w:rsid w:val="00DA327A"/>
    <w:rsid w:val="00FA54F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7E0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fr" w:eastAsia="fr-F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uiPriority w:val="9"/>
    <w:qFormat/>
    <w:pPr>
      <w:keepNext/>
      <w:keepLines/>
      <w:spacing w:before="360" w:after="80"/>
      <w:outlineLvl w:val="0"/>
    </w:pPr>
    <w:rPr>
      <w:color w:val="2F5496"/>
      <w:sz w:val="40"/>
      <w:szCs w:val="40"/>
    </w:rPr>
  </w:style>
  <w:style w:type="paragraph" w:styleId="Titre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Titre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Titre4">
    <w:name w:val="heading 4"/>
    <w:basedOn w:val="Normal"/>
    <w:next w:val="Normal"/>
    <w:uiPriority w:val="9"/>
    <w:semiHidden/>
    <w:unhideWhenUsed/>
    <w:qFormat/>
    <w:pPr>
      <w:keepNext/>
      <w:keepLines/>
      <w:spacing w:before="80" w:after="40"/>
      <w:outlineLvl w:val="3"/>
    </w:pPr>
    <w:rPr>
      <w:i/>
      <w:iCs/>
      <w:color w:val="2F5496"/>
    </w:rPr>
  </w:style>
  <w:style w:type="paragraph" w:styleId="Titre5">
    <w:name w:val="heading 5"/>
    <w:basedOn w:val="Normal"/>
    <w:next w:val="Normal"/>
    <w:uiPriority w:val="9"/>
    <w:semiHidden/>
    <w:unhideWhenUsed/>
    <w:qFormat/>
    <w:pPr>
      <w:keepNext/>
      <w:keepLines/>
      <w:spacing w:before="80" w:after="40"/>
      <w:outlineLvl w:val="4"/>
    </w:pPr>
    <w:rPr>
      <w:color w:val="2F5496"/>
    </w:rPr>
  </w:style>
  <w:style w:type="paragraph" w:styleId="Titre6">
    <w:name w:val="heading 6"/>
    <w:basedOn w:val="Normal"/>
    <w:next w:val="Normal"/>
    <w:uiPriority w:val="9"/>
    <w:semiHidden/>
    <w:unhideWhenUsed/>
    <w:qFormat/>
    <w:pPr>
      <w:keepNext/>
      <w:keepLines/>
      <w:spacing w:before="40" w:after="0"/>
      <w:outlineLvl w:val="5"/>
    </w:pPr>
    <w:rPr>
      <w:i/>
      <w:iCs/>
      <w:color w:val="595959"/>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spacing w:after="80" w:line="240" w:lineRule="auto"/>
    </w:pPr>
    <w:rPr>
      <w:sz w:val="56"/>
      <w:szCs w:val="56"/>
    </w:rPr>
  </w:style>
  <w:style w:type="paragraph" w:styleId="Sous-titre">
    <w:name w:val="Subtitle"/>
    <w:basedOn w:val="Normal"/>
    <w:next w:val="Normal"/>
    <w:uiPriority w:val="11"/>
    <w:qFormat/>
    <w:rPr>
      <w:color w:val="595959"/>
      <w:sz w:val="28"/>
      <w:szCs w:val="28"/>
    </w:rPr>
  </w:style>
  <w:style w:type="paragraph" w:styleId="En-tte">
    <w:name w:val="header"/>
    <w:basedOn w:val="Normal"/>
    <w:link w:val="En-tteCar"/>
    <w:uiPriority w:val="99"/>
    <w:unhideWhenUsed/>
    <w:rsid w:val="00123169"/>
    <w:pPr>
      <w:tabs>
        <w:tab w:val="center" w:pos="4536"/>
        <w:tab w:val="right" w:pos="9072"/>
      </w:tabs>
      <w:spacing w:after="0" w:line="240" w:lineRule="auto"/>
    </w:pPr>
  </w:style>
  <w:style w:type="character" w:customStyle="1" w:styleId="En-tteCar">
    <w:name w:val="En-tête Car"/>
    <w:basedOn w:val="Policepardfaut"/>
    <w:link w:val="En-tte"/>
    <w:uiPriority w:val="99"/>
    <w:rsid w:val="00123169"/>
  </w:style>
  <w:style w:type="paragraph" w:styleId="Pieddepage">
    <w:name w:val="footer"/>
    <w:basedOn w:val="Normal"/>
    <w:link w:val="PieddepageCar"/>
    <w:uiPriority w:val="99"/>
    <w:unhideWhenUsed/>
    <w:rsid w:val="0012316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23169"/>
  </w:style>
  <w:style w:type="paragraph" w:styleId="Textedebulles">
    <w:name w:val="Balloon Text"/>
    <w:basedOn w:val="Normal"/>
    <w:link w:val="TextedebullesCar"/>
    <w:uiPriority w:val="99"/>
    <w:semiHidden/>
    <w:unhideWhenUsed/>
    <w:rsid w:val="00DA327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A327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fr" w:eastAsia="fr-F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uiPriority w:val="9"/>
    <w:qFormat/>
    <w:pPr>
      <w:keepNext/>
      <w:keepLines/>
      <w:spacing w:before="360" w:after="80"/>
      <w:outlineLvl w:val="0"/>
    </w:pPr>
    <w:rPr>
      <w:color w:val="2F5496"/>
      <w:sz w:val="40"/>
      <w:szCs w:val="40"/>
    </w:rPr>
  </w:style>
  <w:style w:type="paragraph" w:styleId="Titre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Titre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Titre4">
    <w:name w:val="heading 4"/>
    <w:basedOn w:val="Normal"/>
    <w:next w:val="Normal"/>
    <w:uiPriority w:val="9"/>
    <w:semiHidden/>
    <w:unhideWhenUsed/>
    <w:qFormat/>
    <w:pPr>
      <w:keepNext/>
      <w:keepLines/>
      <w:spacing w:before="80" w:after="40"/>
      <w:outlineLvl w:val="3"/>
    </w:pPr>
    <w:rPr>
      <w:i/>
      <w:iCs/>
      <w:color w:val="2F5496"/>
    </w:rPr>
  </w:style>
  <w:style w:type="paragraph" w:styleId="Titre5">
    <w:name w:val="heading 5"/>
    <w:basedOn w:val="Normal"/>
    <w:next w:val="Normal"/>
    <w:uiPriority w:val="9"/>
    <w:semiHidden/>
    <w:unhideWhenUsed/>
    <w:qFormat/>
    <w:pPr>
      <w:keepNext/>
      <w:keepLines/>
      <w:spacing w:before="80" w:after="40"/>
      <w:outlineLvl w:val="4"/>
    </w:pPr>
    <w:rPr>
      <w:color w:val="2F5496"/>
    </w:rPr>
  </w:style>
  <w:style w:type="paragraph" w:styleId="Titre6">
    <w:name w:val="heading 6"/>
    <w:basedOn w:val="Normal"/>
    <w:next w:val="Normal"/>
    <w:uiPriority w:val="9"/>
    <w:semiHidden/>
    <w:unhideWhenUsed/>
    <w:qFormat/>
    <w:pPr>
      <w:keepNext/>
      <w:keepLines/>
      <w:spacing w:before="40" w:after="0"/>
      <w:outlineLvl w:val="5"/>
    </w:pPr>
    <w:rPr>
      <w:i/>
      <w:iCs/>
      <w:color w:val="595959"/>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spacing w:after="80" w:line="240" w:lineRule="auto"/>
    </w:pPr>
    <w:rPr>
      <w:sz w:val="56"/>
      <w:szCs w:val="56"/>
    </w:rPr>
  </w:style>
  <w:style w:type="paragraph" w:styleId="Sous-titre">
    <w:name w:val="Subtitle"/>
    <w:basedOn w:val="Normal"/>
    <w:next w:val="Normal"/>
    <w:uiPriority w:val="11"/>
    <w:qFormat/>
    <w:rPr>
      <w:color w:val="595959"/>
      <w:sz w:val="28"/>
      <w:szCs w:val="28"/>
    </w:rPr>
  </w:style>
  <w:style w:type="paragraph" w:styleId="En-tte">
    <w:name w:val="header"/>
    <w:basedOn w:val="Normal"/>
    <w:link w:val="En-tteCar"/>
    <w:uiPriority w:val="99"/>
    <w:unhideWhenUsed/>
    <w:rsid w:val="00123169"/>
    <w:pPr>
      <w:tabs>
        <w:tab w:val="center" w:pos="4536"/>
        <w:tab w:val="right" w:pos="9072"/>
      </w:tabs>
      <w:spacing w:after="0" w:line="240" w:lineRule="auto"/>
    </w:pPr>
  </w:style>
  <w:style w:type="character" w:customStyle="1" w:styleId="En-tteCar">
    <w:name w:val="En-tête Car"/>
    <w:basedOn w:val="Policepardfaut"/>
    <w:link w:val="En-tte"/>
    <w:uiPriority w:val="99"/>
    <w:rsid w:val="00123169"/>
  </w:style>
  <w:style w:type="paragraph" w:styleId="Pieddepage">
    <w:name w:val="footer"/>
    <w:basedOn w:val="Normal"/>
    <w:link w:val="PieddepageCar"/>
    <w:uiPriority w:val="99"/>
    <w:unhideWhenUsed/>
    <w:rsid w:val="0012316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23169"/>
  </w:style>
  <w:style w:type="paragraph" w:styleId="Textedebulles">
    <w:name w:val="Balloon Text"/>
    <w:basedOn w:val="Normal"/>
    <w:link w:val="TextedebullesCar"/>
    <w:uiPriority w:val="99"/>
    <w:semiHidden/>
    <w:unhideWhenUsed/>
    <w:rsid w:val="00DA327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A327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mailto:laurie.thevenet@hotmail.fr"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onia.jocitch@ceidf.caisse-epargne.f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kIl4fKS0HWPA0EPr1YNw5ZoILQ==">CgMxLjAyDmgubXc2MWQxcmx1bHU3Mg5oLnd6MDR2YnZuOXJzMDgAciExYW1yeGVPcVpTcms5b2JMSWxLVU1CSDItS2FpQ19mMTI=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1494</Words>
  <Characters>8219</Characters>
  <Application>Microsoft Office Word</Application>
  <DocSecurity>0</DocSecurity>
  <Lines>68</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 Kablé</dc:creator>
  <cp:lastModifiedBy>MARTIN BENJAMIN</cp:lastModifiedBy>
  <cp:revision>3</cp:revision>
  <dcterms:created xsi:type="dcterms:W3CDTF">2026-06-29T15:14:00Z</dcterms:created>
  <dcterms:modified xsi:type="dcterms:W3CDTF">2026-06-30T07:41:00Z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dd18aa4-ed64-4d59-b931-5ad635491991_Enabled">
    <vt:lpwstr>true</vt:lpwstr>
  </property>
  <property fmtid="{D5CDD505-2E9C-101B-9397-08002B2CF9AE}" pid="3" name="MSIP_Label_7dd18aa4-ed64-4d59-b931-5ad635491991_SetDate">
    <vt:lpwstr>2026-06-08T12:53:30Z</vt:lpwstr>
  </property>
  <property fmtid="{D5CDD505-2E9C-101B-9397-08002B2CF9AE}" pid="4" name="MSIP_Label_7dd18aa4-ed64-4d59-b931-5ad635491991_Method">
    <vt:lpwstr>Privileged</vt:lpwstr>
  </property>
  <property fmtid="{D5CDD505-2E9C-101B-9397-08002B2CF9AE}" pid="5" name="MSIP_Label_7dd18aa4-ed64-4d59-b931-5ad635491991_Name">
    <vt:lpwstr>Standard</vt:lpwstr>
  </property>
  <property fmtid="{D5CDD505-2E9C-101B-9397-08002B2CF9AE}" pid="6" name="MSIP_Label_7dd18aa4-ed64-4d59-b931-5ad635491991_SiteId">
    <vt:lpwstr>d5bb6d35-8a82-4329-b49a-5030bd6497ab</vt:lpwstr>
  </property>
  <property fmtid="{D5CDD505-2E9C-101B-9397-08002B2CF9AE}" pid="7" name="MSIP_Label_7dd18aa4-ed64-4d59-b931-5ad635491991_ActionId">
    <vt:lpwstr>ff5dc1a1-bfe4-4bc7-9481-725b4178d565</vt:lpwstr>
  </property>
  <property fmtid="{D5CDD505-2E9C-101B-9397-08002B2CF9AE}" pid="8" name="MSIP_Label_7dd18aa4-ed64-4d59-b931-5ad635491991_ContentBits">
    <vt:lpwstr>0</vt:lpwstr>
  </property>
  <property fmtid="{D5CDD505-2E9C-101B-9397-08002B2CF9AE}" pid="9" name="MSIP_Label_7dd18aa4-ed64-4d59-b931-5ad635491991_Tag">
    <vt:lpwstr>10, 0, 1, 1</vt:lpwstr>
  </property>
</Properties>
</file>